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jc w:val="center"/>
        <w:spacing w:before="75" w:beforeAutospacing="0" w:after="75" w:afterAutospacing="0"/>
        <w:widowControl/>
        <w:rPr>
          <w:rStyle w:val="927"/>
          <w:rFonts w:ascii="宋体" w:hAnsi="宋体" w:cs="宋体"/>
          <w:color w:val="auto"/>
          <w:sz w:val="72"/>
          <w:szCs w:val="72"/>
          <w:highlight w:val="none"/>
        </w:rPr>
      </w:pPr>
      <w:r/>
      <w:bookmarkStart w:id="63" w:name="_GoBack"/>
      <w:r/>
      <w:r/>
    </w:p>
    <w:p>
      <w:pPr>
        <w:pStyle w:val="957"/>
        <w:jc w:val="center"/>
        <w:spacing w:before="75" w:beforeAutospacing="0" w:after="75" w:afterAutospacing="0"/>
        <w:widowControl/>
        <w:rPr>
          <w:rStyle w:val="927"/>
          <w:rFonts w:ascii="宋体" w:hAnsi="宋体" w:cs="宋体"/>
          <w:color w:val="auto"/>
          <w:sz w:val="72"/>
          <w:szCs w:val="72"/>
          <w:highlight w:val="none"/>
        </w:rPr>
      </w:pPr>
      <w:r>
        <w:rPr>
          <w:rFonts w:ascii="宋体" w:hAnsi="宋体" w:cs="宋体"/>
          <w:color w:val="auto"/>
          <w:sz w:val="72"/>
          <w:szCs w:val="72"/>
          <w:highlight w:val="none"/>
        </w:rPr>
      </w:r>
      <w:r/>
    </w:p>
    <w:p>
      <w:pPr>
        <w:pStyle w:val="957"/>
        <w:jc w:val="center"/>
        <w:spacing w:before="75" w:beforeAutospacing="0" w:after="75" w:afterAutospacing="0"/>
        <w:widowControl/>
        <w:rPr>
          <w:rStyle w:val="927"/>
          <w:rFonts w:ascii="宋体" w:hAnsi="宋体" w:cs="宋体"/>
          <w:color w:val="auto"/>
          <w:sz w:val="72"/>
          <w:szCs w:val="72"/>
          <w:highlight w:val="none"/>
        </w:rPr>
      </w:pPr>
      <w:r>
        <w:rPr>
          <w:rStyle w:val="927"/>
          <w:rFonts w:hint="eastAsia" w:ascii="宋体" w:hAnsi="宋体" w:cs="宋体"/>
          <w:color w:val="auto"/>
          <w:sz w:val="72"/>
          <w:szCs w:val="72"/>
          <w:highlight w:val="none"/>
        </w:rPr>
        <w:t xml:space="preserve">苏州市姑苏区政府采购</w:t>
      </w:r>
      <w:r/>
    </w:p>
    <w:p>
      <w:pPr>
        <w:pStyle w:val="957"/>
        <w:jc w:val="center"/>
        <w:spacing w:before="75" w:beforeAutospacing="0" w:after="75" w:afterAutospacing="0"/>
        <w:widowControl/>
        <w:rPr>
          <w:rStyle w:val="927"/>
          <w:rFonts w:ascii="宋体" w:hAnsi="宋体" w:cs="宋体"/>
          <w:color w:val="auto"/>
          <w:sz w:val="72"/>
          <w:szCs w:val="72"/>
          <w:highlight w:val="none"/>
        </w:rPr>
      </w:pPr>
      <w:r>
        <w:rPr>
          <w:rStyle w:val="927"/>
          <w:rFonts w:hint="eastAsia" w:ascii="宋体" w:hAnsi="宋体" w:cs="宋体"/>
          <w:color w:val="auto"/>
          <w:sz w:val="72"/>
          <w:szCs w:val="72"/>
          <w:highlight w:val="none"/>
        </w:rPr>
        <w:t xml:space="preserve">服务类公开招标项目</w:t>
      </w:r>
      <w:r/>
    </w:p>
    <w:p>
      <w:pPr>
        <w:pStyle w:val="957"/>
        <w:jc w:val="center"/>
        <w:spacing w:before="75" w:beforeAutospacing="0" w:after="75" w:afterAutospacing="0"/>
        <w:widowControl/>
        <w:rPr>
          <w:rFonts w:ascii="宋体" w:hAnsi="宋体" w:cs="宋体"/>
          <w:b/>
          <w:color w:val="auto"/>
          <w:sz w:val="72"/>
          <w:szCs w:val="72"/>
          <w:highlight w:val="none"/>
        </w:rPr>
      </w:pPr>
      <w:r>
        <w:rPr>
          <w:rFonts w:ascii="宋体" w:hAnsi="宋体" w:cs="宋体"/>
          <w:b/>
          <w:color w:val="auto"/>
          <w:sz w:val="72"/>
          <w:szCs w:val="72"/>
          <w:highlight w:val="none"/>
        </w:rPr>
      </w:r>
      <w:r/>
    </w:p>
    <w:p>
      <w:pPr>
        <w:pStyle w:val="957"/>
        <w:jc w:val="center"/>
        <w:spacing w:before="75" w:beforeAutospacing="0" w:after="75" w:afterAutospacing="0"/>
        <w:widowControl/>
        <w:rPr>
          <w:rFonts w:ascii="宋体" w:hAnsi="宋体" w:cs="宋体"/>
          <w:color w:val="auto"/>
          <w:highlight w:val="none"/>
        </w:rPr>
      </w:pPr>
      <w:r>
        <w:rPr>
          <w:rFonts w:hint="eastAsia" w:ascii="宋体" w:hAnsi="宋体" w:cs="宋体"/>
          <w:color w:val="auto"/>
          <w:highlight w:val="none"/>
        </w:rPr>
        <w:t xml:space="preserve"> </w:t>
      </w:r>
      <w:r/>
    </w:p>
    <w:p>
      <w:pPr>
        <w:pStyle w:val="957"/>
        <w:spacing w:before="75" w:beforeAutospacing="0" w:after="75" w:afterAutospacing="0"/>
        <w:widowControl/>
        <w:rPr>
          <w:rStyle w:val="927"/>
          <w:rFonts w:ascii="宋体" w:hAnsi="宋体" w:cs="宋体"/>
          <w:color w:val="auto"/>
          <w:sz w:val="72"/>
          <w:szCs w:val="72"/>
          <w:highlight w:val="none"/>
        </w:rPr>
      </w:pPr>
      <w:r>
        <w:rPr>
          <w:rFonts w:ascii="宋体" w:hAnsi="宋体" w:cs="宋体"/>
          <w:color w:val="auto"/>
          <w:sz w:val="72"/>
          <w:szCs w:val="72"/>
          <w:highlight w:val="none"/>
        </w:rPr>
      </w:r>
      <w:r/>
    </w:p>
    <w:p>
      <w:pPr>
        <w:pStyle w:val="957"/>
        <w:spacing w:before="75" w:beforeAutospacing="0" w:after="75" w:afterAutospacing="0"/>
        <w:widowControl/>
        <w:rPr>
          <w:rFonts w:ascii="宋体" w:hAnsi="宋体" w:cs="宋体"/>
          <w:color w:val="auto"/>
          <w:highlight w:val="none"/>
        </w:rPr>
      </w:pPr>
      <w:r>
        <w:rPr>
          <w:rFonts w:ascii="宋体" w:hAnsi="宋体" w:cs="宋体"/>
          <w:color w:val="auto"/>
          <w:highlight w:val="none"/>
        </w:rPr>
      </w:r>
      <w:r/>
    </w:p>
    <w:p>
      <w:pPr>
        <w:pStyle w:val="957"/>
        <w:ind w:firstLine="1205"/>
        <w:spacing w:before="75" w:beforeAutospacing="0" w:after="75" w:afterAutospacing="0"/>
        <w:widowControl/>
        <w:rPr>
          <w:rStyle w:val="927"/>
          <w:rFonts w:ascii="宋体" w:hAnsi="宋体" w:cs="宋体"/>
          <w:color w:val="auto"/>
          <w:sz w:val="30"/>
          <w:szCs w:val="30"/>
          <w:highlight w:val="none"/>
        </w:rPr>
      </w:pPr>
      <w:r>
        <w:rPr>
          <w:rStyle w:val="927"/>
          <w:rFonts w:hint="eastAsia" w:ascii="宋体" w:hAnsi="宋体" w:cs="宋体"/>
          <w:color w:val="auto"/>
          <w:sz w:val="30"/>
          <w:szCs w:val="30"/>
          <w:highlight w:val="none"/>
        </w:rPr>
        <w:t xml:space="preserve">采购编号：</w:t>
      </w:r>
      <w:r>
        <w:rPr>
          <w:rStyle w:val="927"/>
          <w:rFonts w:hint="eastAsia" w:ascii="宋体" w:hAnsi="宋体" w:cs="宋体"/>
          <w:color w:val="auto"/>
          <w:sz w:val="30"/>
          <w:szCs w:val="30"/>
          <w:highlight w:val="none"/>
          <w:u w:val="single"/>
        </w:rPr>
        <w:t xml:space="preserve">  JSZC-320508-SZRQ-G2025-0031 </w:t>
      </w:r>
      <w:r/>
    </w:p>
    <w:p>
      <w:pPr>
        <w:pStyle w:val="957"/>
        <w:ind w:firstLine="1205"/>
        <w:spacing w:before="75" w:beforeAutospacing="0" w:after="75" w:afterAutospacing="0"/>
        <w:widowControl/>
        <w:rPr>
          <w:rFonts w:ascii="宋体" w:hAnsi="宋体" w:cs="宋体"/>
          <w:color w:val="auto"/>
          <w:highlight w:val="none"/>
        </w:rPr>
      </w:pPr>
      <w:r>
        <w:rPr>
          <w:rStyle w:val="927"/>
          <w:rFonts w:hint="eastAsia" w:ascii="宋体" w:hAnsi="宋体" w:cs="宋体"/>
          <w:color w:val="auto"/>
          <w:sz w:val="30"/>
          <w:szCs w:val="30"/>
          <w:highlight w:val="none"/>
        </w:rPr>
        <w:t xml:space="preserve">项目名称：</w:t>
      </w:r>
      <w:r>
        <w:rPr>
          <w:rStyle w:val="927"/>
          <w:rFonts w:hint="eastAsia" w:ascii="宋体" w:hAnsi="宋体" w:cs="宋体"/>
          <w:color w:val="auto"/>
          <w:sz w:val="30"/>
          <w:szCs w:val="30"/>
          <w:highlight w:val="none"/>
          <w:u w:val="single"/>
        </w:rPr>
        <w:t xml:space="preserve"> 2026-2027年度市政设施维护服务项目（高架）   </w:t>
      </w:r>
      <w:r/>
    </w:p>
    <w:p>
      <w:pPr>
        <w:pStyle w:val="957"/>
        <w:ind w:firstLine="1205"/>
        <w:spacing w:before="75" w:beforeAutospacing="0" w:after="75" w:afterAutospacing="0"/>
        <w:widowControl/>
        <w:rPr>
          <w:rFonts w:ascii="宋体" w:hAnsi="宋体" w:cs="宋体"/>
          <w:color w:val="auto"/>
          <w:highlight w:val="none"/>
        </w:rPr>
      </w:pPr>
      <w:r>
        <w:rPr>
          <w:rStyle w:val="927"/>
          <w:rFonts w:hint="eastAsia" w:ascii="宋体" w:hAnsi="宋体" w:cs="宋体"/>
          <w:color w:val="auto"/>
          <w:sz w:val="30"/>
          <w:szCs w:val="30"/>
          <w:highlight w:val="none"/>
        </w:rPr>
        <w:t xml:space="preserve">采 购 人：</w:t>
      </w:r>
      <w:r>
        <w:rPr>
          <w:rStyle w:val="927"/>
          <w:rFonts w:hint="eastAsia" w:ascii="宋体" w:hAnsi="宋体" w:cs="宋体"/>
          <w:color w:val="auto"/>
          <w:sz w:val="30"/>
          <w:szCs w:val="30"/>
          <w:highlight w:val="none"/>
          <w:u w:val="single"/>
        </w:rPr>
        <w:t xml:space="preserve">  苏州市市政设施管理处     </w:t>
      </w:r>
      <w:r/>
    </w:p>
    <w:p>
      <w:pPr>
        <w:pStyle w:val="957"/>
        <w:ind w:firstLine="1205"/>
        <w:spacing w:before="75" w:beforeAutospacing="0" w:after="75" w:afterAutospacing="0"/>
        <w:widowControl/>
        <w:rPr>
          <w:rStyle w:val="927"/>
          <w:rFonts w:ascii="宋体" w:hAnsi="宋体" w:cs="宋体"/>
          <w:color w:val="auto"/>
          <w:sz w:val="30"/>
          <w:szCs w:val="30"/>
          <w:highlight w:val="none"/>
        </w:rPr>
      </w:pPr>
      <w:r>
        <w:rPr>
          <w:rStyle w:val="927"/>
          <w:rFonts w:hint="eastAsia" w:ascii="宋体" w:hAnsi="宋体" w:cs="宋体"/>
          <w:color w:val="auto"/>
          <w:sz w:val="30"/>
          <w:szCs w:val="30"/>
          <w:highlight w:val="none"/>
        </w:rPr>
        <w:t xml:space="preserve">采购代理机构：</w:t>
      </w:r>
      <w:r>
        <w:rPr>
          <w:rStyle w:val="927"/>
          <w:rFonts w:hint="eastAsia" w:ascii="宋体" w:hAnsi="宋体" w:cs="宋体"/>
          <w:color w:val="auto"/>
          <w:sz w:val="30"/>
          <w:szCs w:val="30"/>
          <w:highlight w:val="none"/>
          <w:u w:val="single"/>
        </w:rPr>
        <w:t xml:space="preserve">苏州睿乔招投标咨询服务有限公司    </w:t>
      </w:r>
      <w:r/>
    </w:p>
    <w:p>
      <w:pPr>
        <w:pStyle w:val="957"/>
        <w:ind w:firstLine="1205"/>
        <w:spacing w:before="75" w:beforeAutospacing="0" w:after="75" w:afterAutospacing="0"/>
        <w:widowControl/>
        <w:rPr>
          <w:rFonts w:ascii="宋体" w:hAnsi="宋体" w:cs="宋体"/>
          <w:color w:val="auto"/>
          <w:highlight w:val="none"/>
        </w:rPr>
      </w:pPr>
      <w:r>
        <w:rPr>
          <w:rStyle w:val="927"/>
          <w:rFonts w:hint="eastAsia" w:ascii="宋体" w:hAnsi="宋体" w:cs="宋体"/>
          <w:color w:val="auto"/>
          <w:sz w:val="30"/>
          <w:szCs w:val="30"/>
          <w:highlight w:val="none"/>
        </w:rPr>
        <w:t xml:space="preserve">采购类别：</w:t>
      </w:r>
      <w:r>
        <w:rPr>
          <w:rStyle w:val="927"/>
          <w:rFonts w:hint="eastAsia" w:ascii="宋体" w:hAnsi="宋体" w:cs="宋体"/>
          <w:color w:val="auto"/>
          <w:sz w:val="30"/>
          <w:szCs w:val="30"/>
          <w:highlight w:val="none"/>
          <w:u w:val="single"/>
        </w:rPr>
        <w:t xml:space="preserve">  服务类   </w:t>
      </w:r>
      <w:r/>
    </w:p>
    <w:p>
      <w:pPr>
        <w:pStyle w:val="957"/>
        <w:spacing w:before="75" w:beforeAutospacing="0" w:after="75" w:afterAutospacing="0"/>
        <w:widowControl/>
        <w:rPr>
          <w:rStyle w:val="927"/>
          <w:rFonts w:ascii="宋体" w:hAnsi="宋体" w:cs="宋体"/>
          <w:b w:val="0"/>
          <w:color w:val="auto"/>
          <w:highlight w:val="none"/>
        </w:rPr>
      </w:pPr>
      <w:r>
        <w:rPr>
          <w:rFonts w:hint="eastAsia" w:ascii="宋体" w:hAnsi="宋体" w:cs="宋体"/>
          <w:color w:val="auto"/>
          <w:highlight w:val="none"/>
        </w:rPr>
        <w:t xml:space="preserve"> </w:t>
      </w:r>
      <w:r/>
    </w:p>
    <w:p>
      <w:pPr>
        <w:pStyle w:val="957"/>
        <w:jc w:val="center"/>
        <w:spacing w:before="75" w:beforeAutospacing="0" w:after="75" w:afterAutospacing="0"/>
        <w:widowControl/>
        <w:rPr>
          <w:rStyle w:val="927"/>
          <w:rFonts w:ascii="宋体" w:hAnsi="宋体" w:cs="宋体"/>
          <w:color w:val="auto"/>
          <w:sz w:val="28"/>
          <w:szCs w:val="28"/>
          <w:highlight w:val="none"/>
        </w:rPr>
      </w:pPr>
      <w:r>
        <w:rPr>
          <w:rFonts w:ascii="宋体" w:hAnsi="宋体" w:cs="宋体"/>
          <w:color w:val="auto"/>
          <w:sz w:val="28"/>
          <w:szCs w:val="28"/>
          <w:highlight w:val="none"/>
        </w:rPr>
      </w:r>
      <w:r/>
    </w:p>
    <w:p>
      <w:pPr>
        <w:pStyle w:val="957"/>
        <w:jc w:val="both"/>
        <w:spacing w:before="75" w:beforeAutospacing="0" w:after="75" w:afterAutospacing="0"/>
        <w:widowControl/>
        <w:rPr>
          <w:rStyle w:val="927"/>
          <w:rFonts w:ascii="宋体" w:hAnsi="宋体" w:cs="宋体"/>
          <w:color w:val="auto"/>
          <w:sz w:val="28"/>
          <w:szCs w:val="28"/>
          <w:highlight w:val="none"/>
        </w:rPr>
      </w:pPr>
      <w:r>
        <w:rPr>
          <w:rFonts w:ascii="宋体" w:hAnsi="宋体" w:cs="宋体"/>
          <w:color w:val="auto"/>
          <w:sz w:val="28"/>
          <w:szCs w:val="28"/>
          <w:highlight w:val="none"/>
        </w:rPr>
      </w:r>
      <w:r/>
    </w:p>
    <w:p>
      <w:pPr>
        <w:pStyle w:val="957"/>
        <w:jc w:val="both"/>
        <w:spacing w:before="75" w:beforeAutospacing="0" w:after="75" w:afterAutospacing="0"/>
        <w:widowControl/>
        <w:rPr>
          <w:rStyle w:val="927"/>
          <w:rFonts w:ascii="宋体" w:hAnsi="宋体" w:cs="宋体"/>
          <w:color w:val="auto"/>
          <w:sz w:val="28"/>
          <w:szCs w:val="28"/>
          <w:highlight w:val="none"/>
        </w:rPr>
      </w:pPr>
      <w:r>
        <w:rPr>
          <w:rFonts w:ascii="宋体" w:hAnsi="宋体" w:cs="宋体"/>
          <w:color w:val="auto"/>
          <w:sz w:val="28"/>
          <w:szCs w:val="28"/>
          <w:highlight w:val="none"/>
        </w:rPr>
      </w:r>
      <w:r/>
    </w:p>
    <w:p>
      <w:pPr>
        <w:pStyle w:val="957"/>
        <w:ind w:firstLine="3614"/>
        <w:spacing w:before="75" w:beforeAutospacing="0" w:after="75" w:afterAutospacing="0"/>
        <w:widowControl/>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color w:val="auto"/>
          <w:sz w:val="36"/>
          <w:highlight w:val="none"/>
        </w:rPr>
        <w:t xml:space="preserve">投标须知前附表</w:t>
      </w:r>
      <w:r/>
    </w:p>
    <w:p>
      <w:pPr>
        <w:ind w:firstLine="480"/>
        <w:jc w:val="left"/>
        <w:spacing w:line="360" w:lineRule="auto"/>
        <w:rPr>
          <w:rFonts w:ascii="宋体" w:hAnsi="宋体" w:cs="宋体"/>
          <w:b/>
          <w:color w:val="auto"/>
          <w:sz w:val="36"/>
          <w:highlight w:val="none"/>
        </w:rPr>
      </w:pPr>
      <w:r>
        <w:rPr>
          <w:rFonts w:hint="eastAsia" w:ascii="宋体" w:hAnsi="宋体" w:cs="宋体"/>
          <w:color w:val="auto"/>
          <w:sz w:val="24"/>
          <w:highlight w:val="none"/>
        </w:rPr>
        <w:t xml:space="preserve">本表是本招标项目的具体资料，是对投标人须知的具体补充和修改，如有矛盾，应</w:t>
      </w:r>
      <w:r>
        <w:rPr>
          <w:rFonts w:hint="eastAsia" w:ascii="宋体" w:hAnsi="宋体" w:cs="宋体"/>
          <w:b/>
          <w:color w:val="auto"/>
          <w:sz w:val="24"/>
          <w:highlight w:val="none"/>
        </w:rPr>
        <w:t xml:space="preserve">以本表为准</w:t>
      </w:r>
      <w:r>
        <w:rPr>
          <w:rFonts w:hint="eastAsia" w:ascii="宋体" w:hAnsi="宋体" w:cs="宋体"/>
          <w:color w:val="auto"/>
          <w:sz w:val="24"/>
          <w:highlight w:val="none"/>
        </w:rPr>
        <w:t xml:space="preserve">。</w:t>
      </w:r>
      <w:r/>
    </w:p>
    <w:tbl>
      <w:tblPr>
        <w:tblStyle w:val="703"/>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041" w:type="dxa"/>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采购编号：</w:t>
            </w:r>
            <w:r>
              <w:rPr>
                <w:rFonts w:hint="eastAsia" w:ascii="宋体" w:hAnsi="宋体" w:cs="宋体"/>
                <w:color w:val="auto"/>
                <w:sz w:val="24"/>
                <w:highlight w:val="none"/>
                <w:lang w:eastAsia="zh-CN"/>
              </w:rPr>
              <w:t xml:space="preserve">JSZC-320508-SZRQ-G2025-0031</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采购内容：2026-2027年度市政设施维护服务项目（高架）</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lang w:val="zh-CN"/>
              </w:rPr>
              <w:t xml:space="preserve">项目预算金额：</w:t>
            </w:r>
            <w:r>
              <w:rPr>
                <w:rFonts w:hint="eastAsia" w:ascii="宋体" w:hAnsi="宋体" w:cs="宋体"/>
                <w:color w:val="auto"/>
                <w:sz w:val="24"/>
                <w:highlight w:val="none"/>
              </w:rPr>
              <w:t xml:space="preserve">叁仟万元整（￥30000000.00）</w:t>
            </w:r>
            <w:r/>
          </w:p>
          <w:p>
            <w:pPr>
              <w:rPr>
                <w:rFonts w:ascii="宋体" w:hAnsi="宋体" w:cs="宋体"/>
                <w:color w:val="auto"/>
                <w:sz w:val="24"/>
                <w:highlight w:val="none"/>
                <w:lang w:val="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：贰仟玖佰玖拾玖万玖仟玖佰伍拾陆元陆角捌分（￥29999956.68）；</w:t>
            </w:r>
            <w:r/>
          </w:p>
          <w:p>
            <w:pPr>
              <w:rPr>
                <w:color w:val="auto"/>
                <w:highlight w:val="none"/>
              </w:rPr>
            </w:pPr>
            <w:r>
              <w:rPr>
                <w:rFonts w:hint="eastAsia" w:ascii="宋体" w:hAnsi="宋体" w:cs="宋体"/>
                <w:color w:val="auto"/>
                <w:sz w:val="24"/>
                <w:highlight w:val="none"/>
                <w:lang w:val="zh-CN"/>
              </w:rPr>
              <w:t xml:space="preserve">报价不得超过此最高限价，超过为无效标</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采购人：苏州市市政设施管理处 </w:t>
            </w:r>
            <w:r/>
          </w:p>
          <w:p>
            <w:pPr>
              <w:rPr>
                <w:rFonts w:ascii="宋体" w:hAnsi="宋体" w:cs="宋体"/>
                <w:color w:val="auto"/>
                <w:sz w:val="24"/>
                <w:highlight w:val="none"/>
              </w:rPr>
            </w:pPr>
            <w:r>
              <w:rPr>
                <w:rFonts w:hint="eastAsia" w:ascii="宋体" w:hAnsi="宋体" w:cs="宋体"/>
                <w:color w:val="auto"/>
                <w:sz w:val="24"/>
                <w:highlight w:val="none"/>
              </w:rPr>
              <w:t xml:space="preserve">地  址：苏州市姑苏区友新路965号南区2号楼</w:t>
            </w:r>
            <w:r/>
          </w:p>
          <w:p>
            <w:pPr>
              <w:rPr>
                <w:rFonts w:ascii="宋体" w:hAnsi="宋体" w:cs="宋体"/>
                <w:color w:val="auto"/>
                <w:sz w:val="24"/>
                <w:highlight w:val="none"/>
              </w:rPr>
            </w:pPr>
            <w:r>
              <w:rPr>
                <w:rFonts w:hint="eastAsia" w:ascii="宋体" w:hAnsi="宋体" w:cs="宋体"/>
                <w:color w:val="auto"/>
                <w:sz w:val="24"/>
                <w:highlight w:val="none"/>
              </w:rPr>
              <w:t xml:space="preserve">联系人：焦方晶   </w:t>
            </w:r>
            <w:r/>
          </w:p>
          <w:p>
            <w:pPr>
              <w:rPr>
                <w:rFonts w:ascii="宋体" w:hAnsi="宋体" w:cs="宋体"/>
                <w:color w:val="auto"/>
                <w:sz w:val="24"/>
                <w:highlight w:val="none"/>
              </w:rPr>
            </w:pPr>
            <w:r>
              <w:rPr>
                <w:rFonts w:hint="eastAsia" w:ascii="宋体" w:hAnsi="宋体" w:cs="宋体"/>
                <w:color w:val="auto"/>
                <w:sz w:val="24"/>
                <w:highlight w:val="none"/>
              </w:rPr>
              <w:t xml:space="preserve">联系电话：（0512）65222759</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采购代理机构：苏州睿乔招投标咨询服务有限公司</w:t>
            </w:r>
            <w:r/>
          </w:p>
          <w:p>
            <w:pPr>
              <w:rPr>
                <w:rFonts w:ascii="宋体" w:hAnsi="宋体" w:cs="宋体"/>
                <w:color w:val="auto"/>
                <w:sz w:val="24"/>
                <w:highlight w:val="none"/>
              </w:rPr>
            </w:pPr>
            <w:r>
              <w:rPr>
                <w:rFonts w:hint="eastAsia" w:ascii="宋体" w:hAnsi="宋体" w:cs="宋体"/>
                <w:color w:val="auto"/>
                <w:sz w:val="24"/>
                <w:highlight w:val="none"/>
              </w:rPr>
              <w:t xml:space="preserve">地址：苏州市吴中区南湖路71号天贸大厦西9楼</w:t>
            </w:r>
            <w:r/>
          </w:p>
          <w:p>
            <w:pPr>
              <w:rPr>
                <w:rFonts w:ascii="宋体" w:hAnsi="宋体" w:cs="宋体"/>
                <w:color w:val="auto"/>
                <w:sz w:val="24"/>
                <w:highlight w:val="none"/>
              </w:rPr>
            </w:pPr>
            <w:r>
              <w:rPr>
                <w:rFonts w:hint="eastAsia" w:ascii="宋体" w:hAnsi="宋体" w:cs="宋体"/>
                <w:color w:val="auto"/>
                <w:sz w:val="24"/>
                <w:highlight w:val="none"/>
              </w:rPr>
              <w:t xml:space="preserve">业务联系人：潘凌、卞玥霏</w:t>
            </w:r>
            <w:r/>
          </w:p>
          <w:p>
            <w:pPr>
              <w:rPr>
                <w:rFonts w:ascii="宋体" w:hAnsi="宋体" w:cs="宋体"/>
                <w:color w:val="auto"/>
                <w:sz w:val="24"/>
                <w:highlight w:val="none"/>
              </w:rPr>
            </w:pPr>
            <w:r>
              <w:rPr>
                <w:rFonts w:hint="eastAsia" w:ascii="宋体" w:hAnsi="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lang w:val="zh-CN"/>
              </w:rPr>
              <w:t xml:space="preserve">投标有效期：提交投标文件截止之日起　　</w:t>
            </w:r>
            <w:r>
              <w:rPr>
                <w:rFonts w:hint="eastAsia" w:ascii="宋体" w:hAnsi="宋体" w:cs="宋体"/>
                <w:color w:val="auto"/>
                <w:sz w:val="24"/>
                <w:highlight w:val="none"/>
              </w:rPr>
              <w:t xml:space="preserve">45</w:t>
            </w:r>
            <w:r>
              <w:rPr>
                <w:rFonts w:hint="eastAsia" w:ascii="宋体" w:hAnsi="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网上报名截止时间：2025年</w:t>
            </w:r>
            <w:r>
              <w:rPr>
                <w:rFonts w:hint="eastAsia" w:ascii="宋体" w:hAnsi="宋体" w:cs="宋体"/>
                <w:color w:val="auto"/>
                <w:sz w:val="24"/>
                <w:highlight w:val="none"/>
              </w:rPr>
              <w:t xml:space="preserve">12月</w:t>
            </w:r>
            <w:r>
              <w:rPr>
                <w:rFonts w:hint="eastAsia" w:ascii="宋体" w:hAnsi="宋体" w:cs="宋体"/>
                <w:color w:val="auto"/>
                <w:sz w:val="24"/>
                <w:highlight w:val="none"/>
              </w:rPr>
              <w:t xml:space="preserve">3日</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截止时间：2025年</w:t>
            </w:r>
            <w:r>
              <w:rPr>
                <w:rFonts w:hint="eastAsia" w:ascii="宋体" w:hAnsi="宋体" w:cs="宋体"/>
                <w:color w:val="auto"/>
                <w:sz w:val="24"/>
                <w:highlight w:val="none"/>
              </w:rPr>
              <w:t xml:space="preserve">12月</w:t>
            </w:r>
            <w:r>
              <w:rPr>
                <w:rFonts w:hint="eastAsia" w:ascii="宋体" w:hAnsi="宋体" w:cs="宋体"/>
                <w:color w:val="auto"/>
                <w:sz w:val="24"/>
                <w:highlight w:val="none"/>
              </w:rPr>
              <w:t xml:space="preserve">22日9：30整（北京时间）</w:t>
            </w:r>
            <w:r/>
          </w:p>
          <w:p>
            <w:pPr>
              <w:rPr>
                <w:rFonts w:ascii="宋体" w:hAnsi="宋体" w:cs="宋体"/>
                <w:color w:val="auto"/>
                <w:sz w:val="24"/>
                <w:highlight w:val="none"/>
              </w:rPr>
            </w:pPr>
            <w:r>
              <w:rPr>
                <w:rFonts w:hint="eastAsia" w:ascii="宋体" w:hAnsi="宋体" w:cs="宋体"/>
                <w:color w:val="auto"/>
                <w:sz w:val="24"/>
                <w:highlight w:val="none"/>
              </w:rPr>
              <w:t xml:space="preserve">投标时间：2025年</w:t>
            </w:r>
            <w:r>
              <w:rPr>
                <w:rFonts w:hint="eastAsia" w:ascii="宋体" w:hAnsi="宋体" w:cs="宋体"/>
                <w:color w:val="auto"/>
                <w:sz w:val="24"/>
                <w:highlight w:val="none"/>
              </w:rPr>
              <w:t xml:space="preserve">12月</w:t>
            </w:r>
            <w:r>
              <w:rPr>
                <w:rFonts w:hint="eastAsia" w:ascii="宋体" w:hAnsi="宋体" w:cs="宋体"/>
                <w:color w:val="auto"/>
                <w:sz w:val="24"/>
                <w:highlight w:val="none"/>
              </w:rPr>
              <w:t xml:space="preserve">22日9：30整（北京时间）</w:t>
            </w:r>
            <w:r/>
          </w:p>
          <w:p>
            <w:pPr>
              <w:rPr>
                <w:rFonts w:ascii="宋体" w:hAnsi="宋体" w:cs="宋体"/>
                <w:color w:val="auto"/>
                <w:sz w:val="24"/>
                <w:highlight w:val="none"/>
              </w:rPr>
            </w:pPr>
            <w:r>
              <w:rPr>
                <w:rFonts w:hint="eastAsia" w:ascii="宋体" w:hAnsi="宋体" w:cs="宋体"/>
                <w:color w:val="auto"/>
                <w:sz w:val="24"/>
                <w:highlight w:val="none"/>
              </w:rPr>
              <w:t xml:space="preserve">开标地点：“苏采云”政府采购交易系统网上开标大厅。</w:t>
            </w:r>
            <w:r/>
          </w:p>
          <w:p>
            <w:pPr>
              <w:rPr>
                <w:rFonts w:ascii="宋体" w:hAnsi="宋体" w:cs="宋体"/>
                <w:color w:val="auto"/>
                <w:highlight w:val="none"/>
              </w:rPr>
            </w:pPr>
            <w:r>
              <w:rPr>
                <w:rFonts w:hint="eastAsia" w:ascii="宋体" w:hAnsi="宋体" w:cs="宋体"/>
                <w:color w:val="auto"/>
                <w:sz w:val="24"/>
                <w:highlight w:val="none"/>
              </w:rPr>
              <w:t xml:space="preserve">本项目为不见面开标项目，开启阶段供应商在【供应商解密】环节必须使用 CA证书解密电子响应文件，如在系统规定的解密时间内未能完成解密的视为放弃参与本项目。“苏采云”系统（网址：http://jszfcg.jsczt.cn/）</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8041" w:type="dxa"/>
            <w:vAlign w:val="center"/>
            <w:textDirection w:val="lrTb"/>
            <w:noWrap w:val="false"/>
          </w:tcPr>
          <w:p>
            <w:pPr>
              <w:rPr>
                <w:rFonts w:ascii="宋体" w:hAnsi="宋体" w:cs="宋体"/>
                <w:bCs/>
                <w:color w:val="auto"/>
                <w:sz w:val="24"/>
                <w:highlight w:val="none"/>
              </w:rPr>
            </w:pPr>
            <w:r>
              <w:rPr>
                <w:rFonts w:hint="eastAsia" w:ascii="宋体" w:hAnsi="宋体" w:cs="宋体"/>
                <w:color w:val="auto"/>
                <w:sz w:val="24"/>
                <w:highlight w:val="none"/>
              </w:rPr>
              <w:t xml:space="preserve">中标</w:t>
            </w:r>
            <w:r>
              <w:rPr>
                <w:rFonts w:hint="eastAsia" w:ascii="宋体" w:hAnsi="宋体" w:cs="宋体"/>
                <w:color w:val="auto"/>
                <w:sz w:val="24"/>
                <w:highlight w:val="none"/>
                <w:lang w:val="zh-CN"/>
              </w:rPr>
              <w:t xml:space="preserve">服务费：</w:t>
            </w:r>
            <w:r>
              <w:rPr>
                <w:rFonts w:hint="eastAsia" w:ascii="宋体" w:hAnsi="宋体" w:cs="宋体"/>
                <w:bCs/>
                <w:color w:val="auto"/>
                <w:sz w:val="24"/>
                <w:highlight w:val="none"/>
              </w:rPr>
              <w:t xml:space="preserve">根据苏财购告【2017】23号文件的收取方式，即“按照采购预算100万元以内1.5%、100～500万元以1.1%、500~1000万元以0.8%，1000万元~5000万元以0.5%，差额定率累进法计算”的基础上，结合本项目前期采购代理项目成交结果，本项目代理服务费按人民币￥119000.00计收。</w:t>
            </w:r>
            <w:r/>
          </w:p>
          <w:p>
            <w:pPr>
              <w:rPr>
                <w:rFonts w:ascii="宋体" w:hAnsi="宋体" w:cs="宋体"/>
                <w:bCs/>
                <w:color w:val="auto"/>
                <w:sz w:val="24"/>
                <w:highlight w:val="none"/>
              </w:rPr>
            </w:pPr>
            <w:r>
              <w:rPr>
                <w:rFonts w:hint="eastAsia" w:ascii="宋体" w:hAnsi="宋体" w:cs="宋体"/>
                <w:bCs/>
                <w:color w:val="auto"/>
                <w:sz w:val="24"/>
                <w:highlight w:val="none"/>
              </w:rPr>
              <w:t xml:space="preserve">领取中标通知书时供应商向招标代理机构一次性付清。</w:t>
            </w:r>
            <w:r/>
          </w:p>
          <w:p>
            <w:pPr>
              <w:rPr>
                <w:rFonts w:ascii="宋体" w:hAnsi="宋体" w:cs="宋体"/>
                <w:color w:val="auto"/>
                <w:sz w:val="24"/>
                <w:highlight w:val="none"/>
              </w:rPr>
            </w:pPr>
            <w:r>
              <w:rPr>
                <w:rFonts w:hint="eastAsia" w:ascii="宋体" w:hAnsi="宋体" w:cs="宋体"/>
                <w:color w:val="auto"/>
                <w:sz w:val="24"/>
                <w:highlight w:val="none"/>
              </w:rPr>
              <w:t xml:space="preserve">账户名：苏州睿乔招投标咨询服务有限公司</w:t>
            </w:r>
            <w:r/>
          </w:p>
          <w:p>
            <w:pPr>
              <w:rPr>
                <w:rFonts w:ascii="宋体" w:hAnsi="宋体" w:cs="宋体"/>
                <w:color w:val="auto"/>
                <w:sz w:val="24"/>
                <w:highlight w:val="none"/>
              </w:rPr>
            </w:pPr>
            <w:r>
              <w:rPr>
                <w:rFonts w:hint="eastAsia" w:ascii="宋体" w:hAnsi="宋体" w:cs="宋体"/>
                <w:color w:val="auto"/>
                <w:sz w:val="24"/>
                <w:highlight w:val="none"/>
              </w:rPr>
              <w:t xml:space="preserve">账  号：1102020209000937813</w:t>
            </w:r>
            <w:r/>
          </w:p>
          <w:p>
            <w:pPr>
              <w:rPr>
                <w:rFonts w:ascii="宋体" w:hAnsi="宋体" w:cs="宋体"/>
                <w:color w:val="auto"/>
                <w:sz w:val="24"/>
                <w:highlight w:val="none"/>
              </w:rPr>
            </w:pPr>
            <w:r>
              <w:rPr>
                <w:rFonts w:hint="eastAsia" w:ascii="宋体" w:hAnsi="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041"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评标方法：综合评分法</w:t>
            </w:r>
            <w:r/>
          </w:p>
        </w:tc>
      </w:tr>
    </w:tbl>
    <w:p>
      <w:pPr>
        <w:pStyle w:val="957"/>
        <w:spacing w:before="75" w:beforeAutospacing="0" w:after="75" w:afterAutospacing="0"/>
        <w:widowControl/>
        <w:rPr>
          <w:rFonts w:ascii="宋体" w:hAnsi="宋体" w:cs="宋体"/>
          <w:color w:val="auto"/>
          <w:highlight w:val="none"/>
        </w:rPr>
      </w:pPr>
      <w:r>
        <w:rPr>
          <w:rFonts w:ascii="宋体" w:hAnsi="宋体" w:cs="宋体"/>
          <w:color w:val="auto"/>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pStyle w:val="789"/>
        <w:rPr>
          <w:color w:val="auto"/>
          <w:highlight w:val="none"/>
        </w:rPr>
      </w:pPr>
      <w:r>
        <w:rPr>
          <w:color w:val="auto"/>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jc w:val="center"/>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tabs>
          <w:tab w:val="left" w:pos="315" w:leader="none"/>
          <w:tab w:val="center" w:pos="4153" w:leader="none"/>
        </w:tabs>
        <w:rPr>
          <w:rFonts w:ascii="宋体" w:hAnsi="宋体" w:cs="宋体"/>
          <w:b/>
          <w:color w:val="auto"/>
          <w:sz w:val="52"/>
          <w:szCs w:val="52"/>
          <w:highlight w:val="none"/>
        </w:rPr>
      </w:pPr>
      <w:r>
        <w:rPr>
          <w:rFonts w:ascii="宋体" w:hAnsi="宋体" w:cs="宋体"/>
          <w:b/>
          <w:color w:val="auto"/>
          <w:sz w:val="52"/>
          <w:szCs w:val="52"/>
          <w:highlight w:val="none"/>
        </w:rPr>
      </w:r>
      <w:r/>
    </w:p>
    <w:p>
      <w:pPr>
        <w:pStyle w:val="951"/>
        <w:spacing w:after="312" w:line="48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招标公告</w:t>
      </w:r>
      <w:r/>
    </w:p>
    <w:p>
      <w:pPr>
        <w:pStyle w:val="951"/>
        <w:spacing w:after="312" w:line="48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951"/>
        <w:spacing w:after="312" w:line="48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951"/>
        <w:spacing w:after="312" w:line="48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951"/>
        <w:spacing w:after="312" w:line="48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951"/>
        <w:spacing w:after="312" w:line="48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sz w:val="36"/>
          <w:highlight w:val="none"/>
        </w:rPr>
      </w:pPr>
      <w:r>
        <w:rPr>
          <w:rFonts w:ascii="宋体" w:hAnsi="宋体" w:cs="宋体"/>
          <w:color w:val="auto"/>
          <w:sz w:val="36"/>
          <w:highlight w:val="none"/>
        </w:rPr>
      </w:r>
      <w:r/>
    </w:p>
    <w:p>
      <w:pPr>
        <w:pStyle w:val="957"/>
        <w:jc w:val="center"/>
        <w:spacing w:before="75" w:beforeAutospacing="0" w:after="75" w:afterAutospacing="0" w:line="405" w:lineRule="atLeast"/>
        <w:widowControl/>
        <w:rPr>
          <w:rFonts w:ascii="宋体" w:hAnsi="宋体" w:cs="宋体"/>
          <w:color w:val="auto"/>
          <w:highlight w:val="none"/>
        </w:rPr>
      </w:pPr>
      <w:r>
        <w:rPr>
          <w:rFonts w:hint="eastAsia" w:ascii="宋体" w:hAnsi="宋体" w:cs="宋体"/>
          <w:color w:val="auto"/>
          <w:sz w:val="36"/>
          <w:highlight w:val="none"/>
        </w:rPr>
        <w:t xml:space="preserve">第一章  招标公告</w:t>
      </w:r>
      <w:r/>
    </w:p>
    <w:p>
      <w:pPr>
        <w:ind w:firstLine="480"/>
        <w:spacing w:line="360" w:lineRule="auto"/>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rPr>
        <w:t xml:space="preserve">2026-2027年度市政设施维护服务项目（高架）</w:t>
      </w:r>
      <w:r>
        <w:rPr>
          <w:rFonts w:hint="eastAsia" w:ascii="宋体" w:hAnsi="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rPr>
        <w:t xml:space="preserve">中</w:t>
      </w:r>
      <w:r>
        <w:rPr>
          <w:rFonts w:hint="eastAsia" w:ascii="宋体" w:hAnsi="宋体" w:cs="宋体"/>
          <w:color w:val="auto"/>
          <w:sz w:val="24"/>
          <w:highlight w:val="none"/>
        </w:rPr>
        <w:t xml:space="preserve">自行免费下载采购文件，并于</w:t>
      </w:r>
      <w:r>
        <w:rPr>
          <w:rFonts w:hint="eastAsia" w:ascii="宋体" w:hAnsi="宋体" w:cs="宋体"/>
          <w:color w:val="auto"/>
          <w:sz w:val="24"/>
          <w:highlight w:val="none"/>
          <w:u w:val="single"/>
        </w:rPr>
        <w:t xml:space="preserve">2025年</w:t>
      </w:r>
      <w:r>
        <w:rPr>
          <w:rFonts w:hint="eastAsia" w:ascii="宋体" w:hAnsi="宋体" w:cs="宋体"/>
          <w:color w:val="auto"/>
          <w:sz w:val="24"/>
          <w:highlight w:val="none"/>
          <w:u w:val="single"/>
        </w:rPr>
        <w:t xml:space="preserve">12月</w:t>
      </w:r>
      <w:r>
        <w:rPr>
          <w:rFonts w:hint="eastAsia" w:ascii="宋体" w:hAnsi="宋体" w:cs="宋体"/>
          <w:color w:val="auto"/>
          <w:sz w:val="24"/>
          <w:highlight w:val="none"/>
          <w:u w:val="single"/>
        </w:rPr>
        <w:t xml:space="preserve">22日9:30</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spacing w:line="360" w:lineRule="auto"/>
        <w:rPr>
          <w:rFonts w:ascii="宋体" w:hAnsi="宋体" w:cs="宋体"/>
          <w:b/>
          <w:color w:val="auto"/>
          <w:sz w:val="24"/>
          <w:highlight w:val="none"/>
        </w:rPr>
      </w:pPr>
      <w:r/>
      <w:bookmarkStart w:id="0" w:name="_Toc28359079"/>
      <w:r/>
      <w:bookmarkStart w:id="1" w:name="_Toc35393790"/>
      <w:r/>
      <w:bookmarkStart w:id="2" w:name="_Toc28359002"/>
      <w:r/>
      <w:bookmarkStart w:id="3" w:name="_Toc35393621"/>
      <w:r/>
      <w:bookmarkStart w:id="4" w:name="_Hlk24379207"/>
      <w:r>
        <w:rPr>
          <w:rFonts w:hint="eastAsia" w:ascii="宋体" w:hAnsi="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JSZC-320508-SZRQ-G2025-0031</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bookmarkEnd w:id="4"/>
      <w:r>
        <w:rPr>
          <w:rFonts w:hint="eastAsia" w:ascii="宋体" w:hAnsi="宋体" w:cs="宋体"/>
          <w:color w:val="auto"/>
          <w:sz w:val="24"/>
          <w:highlight w:val="none"/>
        </w:rPr>
        <w:t xml:space="preserve">2026-2027年度市政设施维护服务项目（高架）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采购预算：叁仟万元整（￥30000000.00）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最高限价：贰仟玖佰玖拾玖万玖仟玖佰伍拾陆元陆角捌分（￥29999956.68）；</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报价不得超过此最高限价，超过为无效标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采购需求：详见招标文件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合同履行期限：2026年1月1日至2027年12月31日。（具体起始时间按采购方通知为准）。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w:t>
      </w:r>
      <w:r>
        <w:rPr>
          <w:rFonts w:hint="eastAsia" w:ascii="宋体" w:hAnsi="宋体" w:cs="宋体"/>
          <w:color w:val="auto"/>
          <w:sz w:val="24"/>
          <w:highlight w:val="none"/>
          <w:u w:val="single"/>
        </w:rPr>
        <w:t xml:space="preserve">不</w:t>
      </w:r>
      <w:r>
        <w:rPr>
          <w:rFonts w:hint="eastAsia" w:ascii="宋体" w:hAnsi="宋体" w:cs="宋体"/>
          <w:color w:val="auto"/>
          <w:sz w:val="24"/>
          <w:highlight w:val="none"/>
        </w:rPr>
        <w:t xml:space="preserve">接受联合体投标。</w:t>
      </w:r>
      <w:r/>
    </w:p>
    <w:p>
      <w:pPr>
        <w:spacing w:line="360" w:lineRule="auto"/>
        <w:rPr>
          <w:rFonts w:ascii="宋体" w:hAnsi="宋体" w:cs="宋体"/>
          <w:b/>
          <w:color w:val="auto"/>
          <w:sz w:val="24"/>
          <w:highlight w:val="none"/>
        </w:rPr>
      </w:pPr>
      <w:r/>
      <w:bookmarkStart w:id="5" w:name="_Toc28359003"/>
      <w:r/>
      <w:bookmarkStart w:id="6" w:name="_Toc35393622"/>
      <w:r/>
      <w:bookmarkStart w:id="7" w:name="_Toc28359080"/>
      <w:r/>
      <w:bookmarkStart w:id="8" w:name="_Toc35393791"/>
      <w:r>
        <w:rPr>
          <w:rFonts w:hint="eastAsia" w:ascii="宋体" w:hAnsi="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bookmarkStart w:id="9" w:name="_Toc28359081"/>
      <w:r/>
      <w:bookmarkStart w:id="10" w:name="_Toc28359004"/>
      <w:r/>
      <w:r/>
    </w:p>
    <w:p>
      <w:pPr>
        <w:ind w:firstLine="480"/>
        <w:spacing w:line="360" w:lineRule="auto"/>
        <w:rPr>
          <w:rFonts w:ascii="宋体" w:hAnsi="宋体" w:cs="宋体"/>
          <w:color w:val="auto"/>
          <w:sz w:val="24"/>
          <w:highlight w:val="none"/>
        </w:rPr>
      </w:pPr>
      <w:r/>
      <w:bookmarkStart w:id="11" w:name="_Toc35393792"/>
      <w:r/>
      <w:bookmarkStart w:id="12" w:name="_Toc35393623"/>
      <w:r>
        <w:rPr>
          <w:rFonts w:hint="eastAsia" w:ascii="宋体" w:hAnsi="宋体" w:cs="宋体"/>
          <w:color w:val="auto"/>
          <w:sz w:val="24"/>
          <w:highlight w:val="none"/>
        </w:rPr>
        <w:t xml:space="preserve">2.本项目落实政府采购政策需满足的资格要求：根据《政府采购促进中小企业发展管理办法》的相关规定，本项目专门面向中小企业，所属行业为其他未列明行业，供应商应为中小微企业、监狱企业、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3.1投标单位具有市政公用工程施工总承包三级（含）以上资质。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w:t>
      </w:r>
      <w:bookmarkEnd w:id="9"/>
      <w:r/>
      <w:bookmarkEnd w:id="10"/>
      <w:r/>
      <w:bookmarkEnd w:id="11"/>
      <w:r/>
      <w:bookmarkEnd w:id="12"/>
      <w:r/>
      <w:bookmarkStart w:id="13" w:name="_Toc28359005"/>
      <w:r/>
      <w:bookmarkStart w:id="14" w:name="_Toc28359082"/>
      <w:r/>
      <w:bookmarkStart w:id="15" w:name="_Toc35393624"/>
      <w:r/>
      <w:bookmarkStart w:id="16" w:name="_Toc35393793"/>
      <w:r>
        <w:rPr>
          <w:rFonts w:hint="eastAsia" w:ascii="宋体" w:hAnsi="宋体" w:cs="宋体"/>
          <w:b/>
          <w:color w:val="auto"/>
          <w:sz w:val="24"/>
          <w:highlight w:val="none"/>
        </w:rPr>
        <w:t xml:space="preserve">获取招标文件</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（一）报名截止时间：</w:t>
      </w:r>
      <w:r>
        <w:rPr>
          <w:rFonts w:hint="eastAsia" w:ascii="宋体" w:hAnsi="宋体" w:cs="宋体"/>
          <w:bCs/>
          <w:color w:val="auto"/>
          <w:sz w:val="24"/>
          <w:highlight w:val="none"/>
          <w:u w:val="single"/>
        </w:rPr>
        <w:t xml:space="preserve">2025年</w:t>
      </w:r>
      <w:r>
        <w:rPr>
          <w:rFonts w:hint="eastAsia" w:ascii="宋体" w:hAnsi="宋体" w:cs="宋体"/>
          <w:bCs/>
          <w:color w:val="auto"/>
          <w:sz w:val="24"/>
          <w:highlight w:val="none"/>
          <w:u w:val="single"/>
        </w:rPr>
        <w:t xml:space="preserve">12月</w:t>
      </w:r>
      <w:r>
        <w:rPr>
          <w:rFonts w:hint="eastAsia" w:ascii="宋体" w:hAnsi="宋体" w:cs="宋体"/>
          <w:bCs/>
          <w:color w:val="auto"/>
          <w:sz w:val="24"/>
          <w:highlight w:val="none"/>
          <w:u w:val="single"/>
        </w:rPr>
        <w:t xml:space="preserve">3日</w:t>
      </w:r>
      <w:r>
        <w:rPr>
          <w:rFonts w:hint="eastAsia" w:ascii="宋体" w:hAnsi="宋体" w:cs="宋体"/>
          <w:bCs/>
          <w:color w:val="auto"/>
          <w:sz w:val="24"/>
          <w:highlight w:val="none"/>
        </w:rPr>
        <w:t xml:space="preserve">（北京时间）</w:t>
      </w:r>
      <w:r/>
    </w:p>
    <w:p>
      <w:pPr>
        <w:ind w:firstLine="480"/>
        <w:spacing w:line="360" w:lineRule="auto"/>
        <w:shd w:val="clear" w:color="auto" w:fill="ffffff"/>
        <w:widowControl/>
        <w:rPr>
          <w:rFonts w:ascii="宋体" w:hAnsi="宋体" w:cs="宋体"/>
          <w:color w:val="auto"/>
          <w:sz w:val="24"/>
          <w:highlight w:val="none"/>
        </w:rPr>
      </w:pPr>
      <w:r/>
      <w:bookmarkStart w:id="17" w:name="_Toc35393632"/>
      <w:r>
        <w:rPr>
          <w:rFonts w:hint="eastAsia" w:ascii="宋体" w:hAnsi="宋体" w:cs="宋体"/>
          <w:bCs/>
          <w:color w:val="auto"/>
          <w:sz w:val="24"/>
          <w:highlight w:val="none"/>
        </w:rPr>
        <w:t xml:space="preserve">（二）</w:t>
      </w:r>
      <w:r>
        <w:rPr>
          <w:rFonts w:hint="eastAsia" w:ascii="宋体" w:hAnsi="宋体" w:cs="宋体"/>
          <w:color w:val="auto"/>
          <w:sz w:val="24"/>
          <w:highlight w:val="none"/>
        </w:rPr>
        <w:t xml:space="preserve">地点：</w:t>
      </w:r>
      <w:r>
        <w:rPr>
          <w:rFonts w:hint="eastAsia" w:ascii="宋体" w:hAnsi="宋体"/>
          <w:color w:val="auto"/>
          <w:sz w:val="24"/>
          <w:highlight w:val="none"/>
        </w:rPr>
        <w:t xml:space="preserve">苏采云系统中</w:t>
      </w:r>
      <w:r>
        <w:rPr>
          <w:rFonts w:hint="eastAsia" w:ascii="宋体" w:hAnsi="宋体" w:cs="宋体"/>
          <w:color w:val="auto"/>
          <w:sz w:val="24"/>
          <w:highlight w:val="none"/>
        </w:rPr>
        <w:t xml:space="preserve">自行下载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苏州现场办理地址：苏州市姑苏区平泷路251号政务服务中心4楼公共交易中心窗口，咨询电话：0512-69820834。（根据有关安排，政府采购CA办理窗口将于2025年12月1日起，从平泷路251号苏州城市生活广场正式搬迁至苏州市高新区邓尉路105号狮山科技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（2）参与采购活动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供应商在“苏采云”系统中操作成功参与项目后，必须在“已参与项目”界面中下载电子采购文件（后缀名为“.kedt”）并导入政府采购客户端工具后方可进行电子响应文件制作和提交</w:t>
      </w:r>
      <w:r>
        <w:rPr>
          <w:rFonts w:hint="eastAsia" w:ascii="宋体" w:hAnsi="宋体" w:cs="宋体"/>
          <w:b/>
          <w:bCs/>
          <w:color w:val="auto"/>
          <w:sz w:val="24"/>
          <w:highlight w:val="none"/>
        </w:rPr>
        <w:t xml:space="preserve">（具体详见《苏采云系统供应商操作手册》，网址链接https://czju.suzhou.gov.cn/zfcg/html/content/20231220161910031.shtml）</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（4）补充通知（如有）：成功获取招标文件的供应商应及时关注政府采购信息发布媒体上发布的更正（补充）公告，同时在“苏采云”系统中下载更正（补充）资料，</w:t>
      </w:r>
      <w:r>
        <w:rPr>
          <w:rFonts w:hint="eastAsia" w:ascii="宋体" w:hAnsi="宋体" w:cs="宋体"/>
          <w:b/>
          <w:bCs/>
          <w:color w:val="auto"/>
          <w:sz w:val="24"/>
          <w:highlight w:val="none"/>
        </w:rPr>
        <w:t xml:space="preserve">如有遗漏（包括但不限于文件未下载或下载不完整），可能无法解密投标（响应）文件，由此所造成的响应失败或损失由供应商自行负责。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4、在系统操作过程中如有疑问，请按以下方式联系：</w:t>
      </w:r>
      <w:bookmarkEnd w:id="1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注册咨询：0512-69820854；</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系统使用指导与咨询：联系电话：0512-69820854；智能客服：登录苏采云系统后，联系系统右下方智能客服图标进行咨询。</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四、上传投标文件</w:t>
      </w:r>
      <w:bookmarkEnd w:id="13"/>
      <w:r/>
      <w:bookmarkEnd w:id="14"/>
      <w:r>
        <w:rPr>
          <w:rFonts w:hint="eastAsia" w:ascii="宋体" w:hAnsi="宋体" w:cs="宋体"/>
          <w:b/>
          <w:color w:val="auto"/>
          <w:sz w:val="24"/>
          <w:highlight w:val="none"/>
        </w:rPr>
        <w:t xml:space="preserve">截止时间、开标时间和地点</w:t>
      </w:r>
      <w:bookmarkEnd w:id="15"/>
      <w:r/>
      <w:bookmarkEnd w:id="1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1、上传投标文件截止时间：</w:t>
      </w:r>
      <w:r>
        <w:rPr>
          <w:rFonts w:hint="eastAsia" w:ascii="宋体" w:hAnsi="宋体" w:cs="宋体"/>
          <w:color w:val="auto"/>
          <w:sz w:val="24"/>
          <w:highlight w:val="none"/>
          <w:u w:val="single"/>
        </w:rPr>
        <w:t xml:space="preserve">2025年</w:t>
      </w:r>
      <w:r>
        <w:rPr>
          <w:rFonts w:hint="eastAsia" w:ascii="宋体" w:hAnsi="宋体" w:cs="宋体"/>
          <w:color w:val="auto"/>
          <w:sz w:val="24"/>
          <w:highlight w:val="none"/>
          <w:u w:val="single"/>
        </w:rPr>
        <w:t xml:space="preserve">12月</w:t>
      </w:r>
      <w:r>
        <w:rPr>
          <w:rFonts w:hint="eastAsia" w:ascii="宋体" w:hAnsi="宋体" w:cs="宋体"/>
          <w:color w:val="auto"/>
          <w:sz w:val="24"/>
          <w:highlight w:val="none"/>
          <w:u w:val="single"/>
        </w:rPr>
        <w:t xml:space="preserve">22日9:30</w:t>
      </w:r>
      <w:r>
        <w:rPr>
          <w:rFonts w:hint="eastAsia" w:ascii="宋体" w:hAnsi="宋体" w:cs="宋体"/>
          <w:color w:val="auto"/>
          <w:sz w:val="24"/>
          <w:highlight w:val="none"/>
        </w:rPr>
        <w:t xml:space="preserve">（北京时间）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color w:val="auto"/>
          <w:sz w:val="24"/>
          <w:highlight w:val="none"/>
          <w:u w:val="single"/>
        </w:rPr>
        <w:t xml:space="preserve">2025年</w:t>
      </w:r>
      <w:r>
        <w:rPr>
          <w:rFonts w:hint="eastAsia" w:ascii="宋体" w:hAnsi="宋体" w:cs="宋体"/>
          <w:color w:val="auto"/>
          <w:sz w:val="24"/>
          <w:highlight w:val="none"/>
          <w:u w:val="single"/>
        </w:rPr>
        <w:t xml:space="preserve">12月</w:t>
      </w:r>
      <w:r>
        <w:rPr>
          <w:rFonts w:hint="eastAsia" w:ascii="宋体" w:hAnsi="宋体" w:cs="宋体"/>
          <w:color w:val="auto"/>
          <w:sz w:val="24"/>
          <w:highlight w:val="none"/>
          <w:u w:val="single"/>
        </w:rPr>
        <w:t xml:space="preserve">22日</w:t>
      </w:r>
      <w:r>
        <w:rPr>
          <w:rFonts w:hint="eastAsia" w:ascii="宋体" w:hAnsi="宋体" w:cs="宋体"/>
          <w:bCs/>
          <w:color w:val="auto"/>
          <w:sz w:val="24"/>
          <w:highlight w:val="none"/>
          <w:u w:val="single"/>
        </w:rPr>
        <w:t xml:space="preserve">9:30</w:t>
      </w:r>
      <w:r>
        <w:rPr>
          <w:rFonts w:hint="eastAsia" w:ascii="宋体" w:hAnsi="宋体" w:cs="宋体"/>
          <w:bCs/>
          <w:color w:val="auto"/>
          <w:sz w:val="24"/>
          <w:highlight w:val="none"/>
        </w:rPr>
        <w:t xml:space="preserve">（北京时间）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3、地点：“苏采云”系统（网址：http://jszfcg.jsczt.cn/），响应文件网上递交，不需要现场参加采购活动，无需提供纸质响应文件。</w:t>
      </w:r>
      <w:r/>
    </w:p>
    <w:p>
      <w:pPr>
        <w:ind w:firstLine="482"/>
        <w:spacing w:line="360" w:lineRule="auto"/>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50"/>
        <w:ind w:firstLine="482"/>
        <w:spacing w:line="360" w:lineRule="auto"/>
        <w:rPr>
          <w:rFonts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50"/>
        <w:ind w:firstLine="482"/>
        <w:spacing w:line="360" w:lineRule="auto"/>
        <w:rPr>
          <w:rFonts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请供应商确保电脑、系统及其他设备（视频输入输出设备等）无误，且开标直至项目结束始终保持系统在线状态。</w:t>
      </w:r>
      <w:r/>
    </w:p>
    <w:p>
      <w:pPr>
        <w:spacing w:line="360" w:lineRule="auto"/>
        <w:rPr>
          <w:rFonts w:ascii="宋体" w:hAnsi="宋体" w:cs="宋体"/>
          <w:b/>
          <w:color w:val="auto"/>
          <w:sz w:val="24"/>
          <w:highlight w:val="none"/>
        </w:rPr>
      </w:pPr>
      <w:r/>
      <w:bookmarkStart w:id="18" w:name="_Toc28359084"/>
      <w:r/>
      <w:bookmarkStart w:id="19" w:name="_Toc35393625"/>
      <w:r/>
      <w:bookmarkStart w:id="20" w:name="_Toc35393794"/>
      <w:r/>
      <w:bookmarkStart w:id="21" w:name="_Toc28359007"/>
      <w:r>
        <w:rPr>
          <w:rFonts w:hint="eastAsia" w:ascii="宋体" w:hAnsi="宋体" w:cs="宋体"/>
          <w:b/>
          <w:color w:val="auto"/>
          <w:sz w:val="24"/>
          <w:highlight w:val="none"/>
        </w:rPr>
        <w:t xml:space="preserve">五、公告期限</w:t>
      </w:r>
      <w:bookmarkEnd w:id="18"/>
      <w:r/>
      <w:bookmarkEnd w:id="19"/>
      <w:r/>
      <w:bookmarkEnd w:id="20"/>
      <w:r/>
      <w:bookmarkEnd w:id="2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spacing w:line="360" w:lineRule="auto"/>
        <w:rPr>
          <w:rFonts w:ascii="宋体" w:hAnsi="宋体" w:cs="宋体"/>
          <w:b/>
          <w:color w:val="auto"/>
          <w:sz w:val="24"/>
          <w:highlight w:val="none"/>
        </w:rPr>
      </w:pPr>
      <w:r/>
      <w:bookmarkStart w:id="22" w:name="_Toc35393795"/>
      <w:r/>
      <w:bookmarkStart w:id="23" w:name="_Toc35393626"/>
      <w:r>
        <w:rPr>
          <w:rFonts w:hint="eastAsia" w:ascii="宋体" w:hAnsi="宋体" w:cs="宋体"/>
          <w:b/>
          <w:color w:val="auto"/>
          <w:sz w:val="24"/>
          <w:highlight w:val="none"/>
        </w:rPr>
        <w:t xml:space="preserve">六、其他补充事宜</w:t>
      </w:r>
      <w:bookmarkEnd w:id="22"/>
      <w:r/>
      <w:bookmarkEnd w:id="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本公告同时在中国政府采购网中央主网、江苏政府采购网、苏州市政府采购网发布。苏州市姑苏区财政局监督电话：（0512）68728409。</w:t>
      </w:r>
      <w:r/>
    </w:p>
    <w:p>
      <w:pPr>
        <w:spacing w:line="360" w:lineRule="auto"/>
        <w:rPr>
          <w:rFonts w:ascii="宋体" w:hAnsi="宋体" w:cs="宋体"/>
          <w:b/>
          <w:color w:val="auto"/>
          <w:sz w:val="24"/>
          <w:highlight w:val="none"/>
        </w:rPr>
      </w:pPr>
      <w:r/>
      <w:bookmarkStart w:id="24" w:name="_Toc35393796"/>
      <w:r/>
      <w:bookmarkStart w:id="25" w:name="_Toc28359085"/>
      <w:r/>
      <w:bookmarkStart w:id="26" w:name="_Toc35393627"/>
      <w:r/>
      <w:bookmarkStart w:id="27" w:name="_Toc28359008"/>
      <w:r>
        <w:rPr>
          <w:rFonts w:hint="eastAsia" w:ascii="宋体" w:hAnsi="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ascii="宋体" w:hAnsi="宋体" w:cs="宋体"/>
          <w:color w:val="auto"/>
          <w:sz w:val="24"/>
          <w:highlight w:val="none"/>
        </w:rPr>
      </w:pPr>
      <w:r/>
      <w:bookmarkStart w:id="28" w:name="_Toc35393786"/>
      <w:r/>
      <w:bookmarkStart w:id="29" w:name="_Toc28359075"/>
      <w:r/>
      <w:bookmarkStart w:id="30" w:name="_Toc35393617"/>
      <w:r/>
      <w:bookmarkStart w:id="31" w:name="_Toc28358998"/>
      <w:r>
        <w:rPr>
          <w:rFonts w:hint="eastAsia" w:ascii="宋体" w:hAnsi="宋体" w:cs="宋体"/>
          <w:color w:val="auto"/>
          <w:sz w:val="24"/>
          <w:highlight w:val="none"/>
        </w:rPr>
        <w:t xml:space="preserve">1.采购人信息</w:t>
      </w:r>
      <w:bookmarkEnd w:id="28"/>
      <w:r/>
      <w:bookmarkEnd w:id="29"/>
      <w:r/>
      <w:bookmarkEnd w:id="30"/>
      <w:r/>
      <w:bookmarkEnd w:id="31"/>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名称：苏州市市政设施管理处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地址：苏州市姑苏区友新路965号南区2号楼</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联系人：焦方晶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电话：（0512）65222759</w:t>
      </w:r>
      <w:r/>
    </w:p>
    <w:p>
      <w:pPr>
        <w:ind w:firstLine="480"/>
        <w:jc w:val="left"/>
        <w:spacing w:line="360" w:lineRule="auto"/>
        <w:widowControl/>
        <w:rPr>
          <w:rFonts w:ascii="宋体" w:hAnsi="宋体" w:cs="宋体"/>
          <w:color w:val="auto"/>
          <w:sz w:val="24"/>
          <w:highlight w:val="none"/>
        </w:rPr>
      </w:pPr>
      <w:r/>
      <w:bookmarkStart w:id="32" w:name="_Toc35393619"/>
      <w:r/>
      <w:bookmarkStart w:id="33" w:name="_Toc28359000"/>
      <w:r/>
      <w:bookmarkStart w:id="34" w:name="_Toc35393788"/>
      <w:r/>
      <w:bookmarkStart w:id="35" w:name="_Toc28359077"/>
      <w:r>
        <w:rPr>
          <w:rFonts w:hint="eastAsia" w:ascii="宋体" w:hAnsi="宋体" w:cs="宋体"/>
          <w:color w:val="auto"/>
          <w:sz w:val="24"/>
          <w:highlight w:val="none"/>
        </w:rPr>
        <w:t xml:space="preserve">2.</w:t>
      </w:r>
      <w:bookmarkEnd w:id="32"/>
      <w:r/>
      <w:bookmarkEnd w:id="33"/>
      <w:r/>
      <w:bookmarkEnd w:id="34"/>
      <w:r/>
      <w:bookmarkEnd w:id="35"/>
      <w:r>
        <w:rPr>
          <w:rFonts w:hint="eastAsia" w:ascii="宋体" w:hAnsi="宋体" w:cs="宋体"/>
          <w:color w:val="auto"/>
          <w:sz w:val="24"/>
          <w:highlight w:val="none"/>
        </w:rPr>
        <w:t xml:space="preserve">采购代理机构信息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w:t>
      </w:r>
      <w:bookmarkStart w:id="36" w:name="XTDLJG_2"/>
      <w:r>
        <w:rPr>
          <w:rFonts w:hint="eastAsia" w:ascii="宋体" w:hAnsi="宋体" w:cs="宋体"/>
          <w:color w:val="auto"/>
          <w:sz w:val="24"/>
          <w:highlight w:val="none"/>
        </w:rPr>
        <w:t xml:space="preserve">：</w:t>
      </w:r>
      <w:bookmarkEnd w:id="36"/>
      <w:r/>
      <w:bookmarkStart w:id="37" w:name="XTDLJG_1"/>
      <w:r>
        <w:rPr>
          <w:rFonts w:hint="eastAsia" w:ascii="宋体" w:hAnsi="宋体" w:cs="宋体"/>
          <w:color w:val="auto"/>
          <w:sz w:val="24"/>
          <w:highlight w:val="none"/>
        </w:rPr>
        <w:t xml:space="preserve">苏州睿乔招投标咨询服务有限公司</w:t>
      </w:r>
      <w:bookmarkEnd w:id="3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ascii="宋体" w:hAnsi="宋体" w:cs="宋体"/>
          <w:color w:val="auto"/>
          <w:sz w:val="24"/>
          <w:highlight w:val="none"/>
        </w:rPr>
      </w:pPr>
      <w:r>
        <w:rPr>
          <w:rFonts w:hint="eastAsia" w:ascii="宋体" w:hAnsi="宋体" w:cs="宋体"/>
          <w:color w:val="auto"/>
          <w:sz w:val="24"/>
          <w:highlight w:val="none"/>
        </w:rPr>
        <w:t xml:space="preserve">联系方式：（0512）67276332</w:t>
      </w:r>
      <w:r/>
    </w:p>
    <w:p>
      <w:pPr>
        <w:ind w:firstLine="480"/>
        <w:jc w:val="left"/>
        <w:spacing w:line="360" w:lineRule="auto"/>
        <w:widowControl/>
        <w:tabs>
          <w:tab w:val="center" w:pos="4946" w:leader="none"/>
        </w:tabs>
        <w:rPr>
          <w:rFonts w:ascii="宋体" w:hAnsi="宋体" w:cs="宋体"/>
          <w:bCs/>
          <w:color w:val="auto"/>
          <w:sz w:val="24"/>
          <w:highlight w:val="none"/>
        </w:rPr>
      </w:pPr>
      <w:r/>
      <w:bookmarkStart w:id="38" w:name="_Toc35393812"/>
      <w:r/>
      <w:bookmarkStart w:id="39" w:name="_Toc28359102"/>
      <w:r/>
      <w:bookmarkStart w:id="40" w:name="_Toc35393643"/>
      <w:r/>
      <w:bookmarkStart w:id="41" w:name="_Toc28359025"/>
      <w:r>
        <w:rPr>
          <w:rFonts w:hint="eastAsia" w:ascii="宋体" w:hAnsi="宋体" w:cs="宋体"/>
          <w:bCs/>
          <w:color w:val="auto"/>
          <w:sz w:val="24"/>
          <w:highlight w:val="none"/>
        </w:rPr>
        <w:t xml:space="preserve">3.项目联系方式</w:t>
      </w:r>
      <w:bookmarkEnd w:id="38"/>
      <w:r/>
      <w:bookmarkEnd w:id="39"/>
      <w:r/>
      <w:bookmarkEnd w:id="40"/>
      <w:r/>
      <w:bookmarkEnd w:id="41"/>
      <w:r/>
      <w:r/>
    </w:p>
    <w:p>
      <w:pPr>
        <w:ind w:firstLine="480"/>
        <w:jc w:val="left"/>
        <w:spacing w:line="360" w:lineRule="auto"/>
        <w:widowControl/>
        <w:tabs>
          <w:tab w:val="center" w:pos="4946" w:leader="none"/>
        </w:tabs>
        <w:rPr>
          <w:rFonts w:ascii="宋体" w:hAnsi="宋体" w:cs="宋体"/>
          <w:color w:val="auto"/>
          <w:sz w:val="24"/>
          <w:highlight w:val="none"/>
        </w:rPr>
      </w:pPr>
      <w:r>
        <w:rPr>
          <w:rFonts w:hint="eastAsia" w:ascii="宋体" w:hAnsi="宋体" w:cs="宋体"/>
          <w:color w:val="auto"/>
          <w:sz w:val="24"/>
          <w:highlight w:val="none"/>
        </w:rPr>
        <w:t xml:space="preserve">项目联系人：潘凌、卞玥霏</w:t>
      </w:r>
      <w:r/>
    </w:p>
    <w:p>
      <w:pPr>
        <w:ind w:firstLine="480"/>
        <w:jc w:val="left"/>
        <w:spacing w:line="360" w:lineRule="auto"/>
        <w:widowControl/>
        <w:tabs>
          <w:tab w:val="center" w:pos="4946" w:leader="none"/>
        </w:tabs>
        <w:rPr>
          <w:rFonts w:ascii="宋体" w:hAnsi="宋体" w:cs="宋体"/>
          <w:color w:val="auto"/>
          <w:sz w:val="24"/>
          <w:highlight w:val="none"/>
        </w:rPr>
      </w:pPr>
      <w:r>
        <w:rPr>
          <w:rFonts w:hint="eastAsia" w:ascii="宋体" w:hAnsi="宋体" w:cs="宋体"/>
          <w:color w:val="auto"/>
          <w:sz w:val="24"/>
          <w:highlight w:val="none"/>
        </w:rPr>
        <w:t xml:space="preserve">电话：（0512）67276332</w:t>
      </w:r>
      <w:r/>
    </w:p>
    <w:p>
      <w:pPr>
        <w:pStyle w:val="957"/>
        <w:jc w:val="center"/>
        <w:spacing w:before="75" w:beforeAutospacing="0" w:after="75" w:afterAutospacing="0"/>
        <w:widowControl/>
        <w:rPr>
          <w:rStyle w:val="927"/>
          <w:rFonts w:ascii="宋体" w:hAnsi="宋体" w:cs="宋体"/>
          <w:color w:val="auto"/>
          <w:sz w:val="72"/>
          <w:szCs w:val="72"/>
          <w:highlight w:val="none"/>
        </w:rPr>
      </w:pPr>
      <w:r>
        <w:rPr>
          <w:rFonts w:ascii="宋体" w:hAnsi="宋体" w:cs="宋体"/>
          <w:color w:val="auto"/>
          <w:sz w:val="72"/>
          <w:szCs w:val="72"/>
          <w:highlight w:val="none"/>
        </w:rPr>
      </w:r>
      <w:r/>
    </w:p>
    <w:p>
      <w:pPr>
        <w:ind w:left="7515" w:hanging="7200"/>
        <w:jc w:val="left"/>
        <w:spacing w:line="384"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pStyle w:val="957"/>
        <w:jc w:val="center"/>
        <w:spacing w:before="75" w:beforeAutospacing="0" w:after="75" w:afterAutospacing="0"/>
        <w:widowControl/>
        <w:rPr>
          <w:rFonts w:ascii="宋体" w:hAnsi="宋体" w:cs="宋体"/>
          <w:color w:val="auto"/>
          <w:sz w:val="36"/>
          <w:szCs w:val="36"/>
          <w:highlight w:val="none"/>
        </w:rPr>
      </w:pPr>
      <w:r>
        <w:rPr>
          <w:rFonts w:hint="eastAsia" w:ascii="宋体" w:hAnsi="宋体" w:cs="宋体"/>
          <w:bCs/>
          <w:color w:val="auto"/>
          <w:sz w:val="36"/>
          <w:szCs w:val="36"/>
          <w:highlight w:val="none"/>
        </w:rPr>
        <w:t xml:space="preserve">第二章  投标人须知</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一、说明和释义</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 说明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1.1本采购文件仅适用于</w:t>
      </w:r>
      <w:r>
        <w:rPr>
          <w:rFonts w:hint="eastAsia" w:ascii="宋体" w:hAnsi="宋体" w:cs="宋体"/>
          <w:color w:val="auto"/>
          <w:sz w:val="24"/>
          <w:highlight w:val="none"/>
          <w:u w:val="single"/>
          <w:lang w:val="zh-CN"/>
        </w:rPr>
        <w:t xml:space="preserve">  苏州睿乔招投标咨询服务有限公司  </w:t>
      </w:r>
      <w:r>
        <w:rPr>
          <w:rFonts w:hint="eastAsia" w:ascii="宋体" w:hAnsi="宋体" w:cs="宋体"/>
          <w:color w:val="auto"/>
          <w:sz w:val="24"/>
          <w:highlight w:val="none"/>
          <w:lang w:val="zh-CN"/>
        </w:rPr>
        <w:t xml:space="preserve">组织的采购活动。</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1.2本次采购活动及因本次采购产生的合同受中国法律制约和保护。</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1.3本采购文件的解释权属于</w:t>
      </w:r>
      <w:r>
        <w:rPr>
          <w:rFonts w:hint="eastAsia" w:ascii="宋体" w:hAnsi="宋体" w:cs="宋体"/>
          <w:color w:val="auto"/>
          <w:sz w:val="24"/>
          <w:highlight w:val="none"/>
          <w:u w:val="single"/>
          <w:lang w:val="zh-CN"/>
        </w:rPr>
        <w:t xml:space="preserve"> 苏州睿乔招投标咨询服务有限公司            </w:t>
      </w:r>
      <w:r>
        <w:rPr>
          <w:rFonts w:hint="eastAsia" w:ascii="宋体" w:hAnsi="宋体" w:cs="宋体"/>
          <w:color w:val="auto"/>
          <w:sz w:val="24"/>
          <w:highlight w:val="none"/>
          <w:lang w:val="zh-CN"/>
        </w:rPr>
        <w:t xml:space="preserve">。</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 词语释义</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2.1采购人（甲方）：依法进行政府采购的国家机关、事业单位、团体组织。</w:t>
      </w:r>
      <w:r/>
    </w:p>
    <w:p>
      <w:pPr>
        <w:ind w:firstLine="47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2.2采购代理机构：</w:t>
      </w:r>
      <w:r>
        <w:rPr>
          <w:rFonts w:hint="eastAsia" w:ascii="宋体" w:hAnsi="宋体" w:cs="宋体"/>
          <w:color w:val="auto"/>
          <w:sz w:val="24"/>
          <w:highlight w:val="none"/>
        </w:rPr>
        <w:t xml:space="preserve">依法接受采购人委托，从事货物、工程和服务等政府采购代理业务的社会中介机构。</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2.3投标人（供应商）：响应招标、参加投标竞争的法人、非法人组织或者自然人。</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2.4响应：投标人根据采购代理机构或采购代理机构发布的采购文件，编制投标文件并按规定投标的行为。</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服务：系指本次采购文件规定乙方应承担的</w:t>
      </w:r>
      <w:r>
        <w:rPr>
          <w:rFonts w:hint="eastAsia" w:ascii="宋体" w:hAnsi="宋体" w:cs="宋体"/>
          <w:color w:val="auto"/>
          <w:sz w:val="24"/>
          <w:highlight w:val="none"/>
        </w:rPr>
        <w:t xml:space="preserve">与提供货物和服务有关的辅助服务及合同中规定乙方应承担的其它义务。</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知识产权：指专利权、商标权、著作权等无形财产专有权的统称。</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天：日历日。</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服务（</w:t>
      </w:r>
      <w:r>
        <w:rPr>
          <w:rFonts w:hint="eastAsia" w:ascii="宋体" w:hAnsi="宋体" w:cs="宋体"/>
          <w:color w:val="auto"/>
          <w:sz w:val="24"/>
          <w:highlight w:val="none"/>
        </w:rPr>
        <w:t xml:space="preserve">交货</w:t>
      </w:r>
      <w:r>
        <w:rPr>
          <w:rFonts w:hint="eastAsia" w:ascii="宋体" w:hAnsi="宋体" w:cs="宋体"/>
          <w:color w:val="auto"/>
          <w:sz w:val="24"/>
          <w:highlight w:val="none"/>
          <w:lang w:val="zh-CN"/>
        </w:rPr>
        <w:t xml:space="preserve">）地点：合同中明确约定的</w:t>
      </w:r>
      <w:r>
        <w:rPr>
          <w:rFonts w:hint="eastAsia" w:ascii="宋体" w:hAnsi="宋体" w:cs="宋体"/>
          <w:color w:val="auto"/>
          <w:sz w:val="24"/>
          <w:highlight w:val="none"/>
        </w:rPr>
        <w:t xml:space="preserve">服务（交货）的项目所在地。</w:t>
      </w:r>
      <w:r/>
    </w:p>
    <w:p>
      <w:pPr>
        <w:ind w:firstLine="47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11</w:t>
      </w:r>
      <w:r>
        <w:rPr>
          <w:rFonts w:hint="eastAsia" w:ascii="宋体" w:hAnsi="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不可抗力：不能预见、不能避免并且不能克服的客观情况。</w:t>
      </w:r>
      <w:r/>
    </w:p>
    <w:p>
      <w:pPr>
        <w:ind w:firstLine="48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2.13实质响应：</w:t>
      </w:r>
      <w:r>
        <w:rPr>
          <w:rFonts w:hint="eastAsia" w:ascii="宋体" w:hAnsi="宋体" w:cs="宋体"/>
          <w:color w:val="auto"/>
          <w:sz w:val="24"/>
          <w:highlight w:val="none"/>
          <w:lang w:val="zh-CN"/>
        </w:rPr>
        <w:t xml:space="preserve">满足有关本项目服务的具体要求，包括服务内容、履行期限、履行地点和方式、违约责任和解决争议方法等要求。</w:t>
      </w:r>
      <w:r/>
    </w:p>
    <w:p>
      <w:pPr>
        <w:pStyle w:val="789"/>
        <w:ind w:firstLine="480"/>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2.15书面形式：指书面文字、合同书、信件和传真等可以有形地表现所载内容的形式。</w:t>
      </w:r>
      <w:r/>
    </w:p>
    <w:p>
      <w:pPr>
        <w:ind w:firstLine="47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2.16小微企业：</w:t>
      </w:r>
      <w:r>
        <w:rPr>
          <w:rFonts w:hint="eastAsia" w:ascii="宋体" w:hAnsi="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二、投标人（供应商）</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3. 供应商资格要求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3.1供应商应当具备下列一般条件：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3.1.1具有独立承担民事责任的能力；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3.1.2具有良好的商业信誉和健全的财务会计制度；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3.1.3具有履行合同所必需的设备和专业技术能力；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3.1.4有依法缴纳税收和社会保障资金的良好记录；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3.1.5参加政府采购活动前三年内，在经营活动中没有重大违法记录；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3.1.6法律、行政法规规定的其他条件；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3.2本项目落实政府采购政策需满足的资格要求：根据《政府采购促进中小企业发展管理办法》的相关规定，本项目专门面向中小企业采购。</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3.3供应商应当具备的特殊条件：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3.3.1投标单位具有市政公用工程施工总承包三级（含）以上资质。</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4、投标人代表</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5、投标费用 </w:t>
      </w:r>
      <w:r/>
    </w:p>
    <w:p>
      <w:pPr>
        <w:ind w:firstLine="502"/>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5.1无论投标过程中的做法和结果如何，投标人自行承担所有与参加投标有关的全部费用。</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6、联合体投标</w:t>
      </w:r>
      <w:r/>
    </w:p>
    <w:p>
      <w:pPr>
        <w:ind w:firstLine="42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本采购项目</w:t>
      </w:r>
      <w:r>
        <w:rPr>
          <w:rFonts w:hint="eastAsia" w:ascii="宋体" w:hAnsi="宋体" w:cs="宋体"/>
          <w:i/>
          <w:color w:val="auto"/>
          <w:sz w:val="24"/>
          <w:highlight w:val="none"/>
        </w:rPr>
        <w:t xml:space="preserve">不</w:t>
      </w:r>
      <w:r>
        <w:rPr>
          <w:rFonts w:hint="eastAsia" w:ascii="宋体" w:hAnsi="宋体" w:cs="宋体"/>
          <w:bCs/>
          <w:color w:val="auto"/>
          <w:sz w:val="24"/>
          <w:highlight w:val="none"/>
          <w:lang w:val="zh-CN"/>
        </w:rPr>
        <w:t xml:space="preserve">接受联合体投标。</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三、采购文件的说明</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7、采购文件</w:t>
      </w:r>
      <w:r/>
    </w:p>
    <w:p>
      <w:pPr>
        <w:ind w:firstLine="420"/>
        <w:spacing w:line="360" w:lineRule="auto"/>
        <w:rPr>
          <w:rFonts w:ascii="宋体" w:hAnsi="宋体" w:cs="宋体"/>
          <w:bCs/>
          <w:color w:val="auto"/>
          <w:sz w:val="24"/>
          <w:highlight w:val="none"/>
          <w:lang w:val="zh-CN"/>
        </w:rPr>
      </w:pPr>
      <w:r>
        <w:rPr>
          <w:rFonts w:hint="eastAsia" w:ascii="宋体" w:hAnsi="宋体" w:cs="宋体"/>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8、招标文件的澄清和修改</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中国政府采购网中央主网、江苏政府采购网、苏州市政府采购网</w:t>
      </w:r>
      <w:r>
        <w:rPr>
          <w:rFonts w:hint="eastAsia" w:ascii="宋体" w:hAnsi="宋体" w:cs="宋体"/>
          <w:bCs/>
          <w:color w:val="auto"/>
          <w:sz w:val="24"/>
          <w:highlight w:val="none"/>
        </w:rPr>
        <w:t xml:space="preserve">对外进行发布。澄清或者修改的内容为招标文件的组成部分。</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中国政府采购网中央主网、江苏政府采购网、苏州市政府采购网</w:t>
      </w:r>
      <w:r>
        <w:rPr>
          <w:rFonts w:hint="eastAsia" w:ascii="宋体" w:hAnsi="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ascii="宋体" w:hAnsi="宋体" w:cs="宋体"/>
          <w:color w:val="auto"/>
          <w:sz w:val="24"/>
          <w:szCs w:val="22"/>
          <w:highlight w:val="none"/>
        </w:rPr>
        <w:outlineLvl w:val="0"/>
      </w:pPr>
      <w:r>
        <w:rPr>
          <w:rFonts w:hint="eastAsia" w:ascii="宋体" w:hAnsi="宋体" w:cs="宋体"/>
          <w:bCs/>
          <w:color w:val="auto"/>
          <w:sz w:val="24"/>
          <w:highlight w:val="none"/>
        </w:rPr>
        <w:t xml:space="preserve">8.3</w:t>
      </w:r>
      <w:r>
        <w:rPr>
          <w:rFonts w:hint="eastAsia" w:ascii="宋体" w:hAnsi="宋体" w:cs="宋体"/>
          <w:color w:val="auto"/>
          <w:sz w:val="24"/>
          <w:szCs w:val="22"/>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8.4招标文件的澄清、修改、补充等内容均以网上发布的内容为准。</w:t>
      </w:r>
      <w:r/>
    </w:p>
    <w:p>
      <w:pPr>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9、勘察现场（本项目不涉及此条）</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b/>
          <w:color w:val="auto"/>
          <w:sz w:val="24"/>
          <w:highlight w:val="none"/>
          <w:lang w:val="zh-CN"/>
        </w:rPr>
      </w:pPr>
      <w:r>
        <w:rPr>
          <w:rFonts w:hint="eastAsia" w:ascii="宋体" w:hAnsi="宋体" w:cs="宋体"/>
          <w:b/>
          <w:bCs/>
          <w:color w:val="auto"/>
          <w:sz w:val="24"/>
          <w:highlight w:val="none"/>
          <w:lang w:val="zh-CN"/>
        </w:rPr>
        <w:t xml:space="preserve">10、质疑</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cs="宋体"/>
          <w:bCs/>
          <w:color w:val="auto"/>
          <w:sz w:val="24"/>
          <w:highlight w:val="none"/>
        </w:rPr>
        <w:t xml:space="preserve">（即《投标供应商确认函》）</w:t>
      </w:r>
      <w:r>
        <w:rPr>
          <w:rFonts w:hint="eastAsia" w:ascii="宋体" w:hAnsi="宋体" w:cs="宋体"/>
          <w:color w:val="auto"/>
          <w:sz w:val="24"/>
          <w:highlight w:val="none"/>
          <w:lang w:val="zh-CN"/>
        </w:rPr>
        <w:t xml:space="preserve">与质疑函一起递交，否则不予受理。</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（2）质疑项目的名称、编号；</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（3）具体、明确的质疑事项和与质疑事项相关的请求；</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（4）事实依据；</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（5）必要的法律依据；</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（6）提出质疑的日期。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bCs/>
          <w:color w:val="auto"/>
          <w:sz w:val="24"/>
          <w:highlight w:val="none"/>
        </w:rPr>
        <w:t xml:space="preserve">供应商《投标供应商确认函》</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10.5</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接收质疑函的方式：书面形式（当场送达或邮寄方式）。</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质疑联系人：</w:t>
      </w:r>
      <w:r>
        <w:rPr>
          <w:rFonts w:hint="eastAsia" w:ascii="宋体" w:hAnsi="宋体" w:cs="宋体"/>
          <w:color w:val="auto"/>
          <w:sz w:val="24"/>
          <w:highlight w:val="none"/>
        </w:rPr>
        <w:t xml:space="preserve">卞玥霏</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rPr>
          <w:rFonts w:hint="eastAsia" w:ascii="宋体" w:hAnsi="宋体" w:cs="宋体"/>
          <w:color w:val="auto"/>
          <w:sz w:val="24"/>
          <w:highlight w:val="none"/>
          <w:u w:val="single"/>
          <w:lang w:val="zh-CN"/>
        </w:rPr>
        <w:t xml:space="preserve">（0512）67276332</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通讯地址：</w:t>
      </w:r>
      <w:r>
        <w:rPr>
          <w:rFonts w:hint="eastAsia" w:ascii="宋体" w:hAnsi="宋体" w:cs="宋体"/>
          <w:color w:val="auto"/>
          <w:sz w:val="24"/>
          <w:highlight w:val="none"/>
          <w:u w:val="single"/>
          <w:lang w:val="zh-CN"/>
        </w:rPr>
        <w:t xml:space="preserve">苏州市吴中区南湖路71号天贸大厦西9楼</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四、投标文件说明</w:t>
      </w:r>
      <w:r/>
    </w:p>
    <w:p>
      <w:pPr>
        <w:ind w:left="459" w:hanging="459"/>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11、提示与要求</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12、投标文件计量单位和使用文字</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13. 投标文件的组成（</w:t>
      </w:r>
      <w:r>
        <w:rPr>
          <w:rFonts w:hint="eastAsia" w:ascii="宋体" w:hAnsi="宋体" w:cs="宋体"/>
          <w:b/>
          <w:color w:val="auto"/>
          <w:sz w:val="24"/>
          <w:highlight w:val="none"/>
        </w:rPr>
        <w:t xml:space="preserve">部分</w:t>
      </w:r>
      <w:r>
        <w:rPr>
          <w:rFonts w:hint="eastAsia" w:ascii="宋体" w:hAnsi="宋体" w:cs="宋体"/>
          <w:b/>
          <w:color w:val="auto"/>
          <w:sz w:val="24"/>
          <w:highlight w:val="none"/>
          <w:lang w:val="zh-CN"/>
        </w:rPr>
        <w:t xml:space="preserve">文件格式参见第三章）</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13.1</w:t>
      </w:r>
      <w:r>
        <w:rPr>
          <w:rFonts w:hint="eastAsia" w:ascii="宋体" w:hAnsi="宋体" w:cs="宋体"/>
          <w:b/>
          <w:color w:val="auto"/>
          <w:sz w:val="24"/>
          <w:highlight w:val="none"/>
        </w:rPr>
        <w:t xml:space="preserve">封面</w:t>
      </w:r>
      <w:r>
        <w:rPr>
          <w:rFonts w:hint="eastAsia" w:ascii="宋体" w:hAnsi="宋体" w:cs="宋体"/>
          <w:b/>
          <w:color w:val="auto"/>
          <w:sz w:val="24"/>
          <w:highlight w:val="none"/>
          <w:lang w:val="zh-CN"/>
        </w:rPr>
        <w:t xml:space="preserve">：</w:t>
      </w:r>
      <w:r/>
    </w:p>
    <w:p>
      <w:pPr>
        <w:ind w:firstLine="513"/>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13.2开标一览表(统一格式,用于唱标)；</w:t>
      </w:r>
      <w:r/>
    </w:p>
    <w:p>
      <w:pPr>
        <w:ind w:firstLine="513"/>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13.3公开分项报价</w:t>
      </w:r>
      <w:r/>
    </w:p>
    <w:p>
      <w:pPr>
        <w:ind w:firstLine="513"/>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13.4资格审查文件（资格审查文件中不可出现价格内容）</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13.4.1关于资格文件的声明函；</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13.4.2投标单位情况表；</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13.4.3投标单位《营业执照》扫描件；</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13.4.4投标单位法定代表人身份证扫描件；</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13.4.5投标单位代理人身份证扫描件及授权委托书（若有）；</w:t>
      </w:r>
      <w:r/>
    </w:p>
    <w:p>
      <w:pPr>
        <w:ind w:firstLine="511"/>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13.4.6</w:t>
      </w:r>
      <w:r>
        <w:rPr>
          <w:rFonts w:hint="eastAsia" w:ascii="宋体" w:hAnsi="宋体" w:cs="宋体"/>
          <w:color w:val="auto"/>
          <w:sz w:val="24"/>
          <w:highlight w:val="none"/>
        </w:rPr>
        <w:t xml:space="preserve">具有独立承担民事责任的能力证明。包括法人或者其他组织的营业执照等证明文件，自然人的身份证明；</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13.4.7有依法缴纳税收和社会保障资金的良好记录。如税务登记证（如有）和合理期限内依法缴纳税收的凭据，社会保险登记证（如有）和合理期限内依法缴纳社会保险的凭据（专用收据或社会保险缴纳清单）；</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13.4.8具有良好的商业信誉和健全的财务会计制度证明。包括但不限于最近一期经审计的财务报告，其他组织、自然人及成立未满一年的法人应提供银行出具的资信证明；</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13.4.9参加政府采购活动前三年内，在经营活动中没有重大违法记录的书面声明函；</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13.4.10响应单位证明其满足合格投标人条件的证书、证明、文件等资料以及响应单位所具备的专业设备和专业技术能力；</w:t>
      </w:r>
      <w:r/>
    </w:p>
    <w:p>
      <w:pPr>
        <w:ind w:firstLine="511"/>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13.4.11投标单位具有市政公用工程施工总承包三级（含）以上资质</w:t>
      </w:r>
      <w:r/>
    </w:p>
    <w:p>
      <w:pPr>
        <w:ind w:firstLine="511"/>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13.</w:t>
      </w:r>
      <w:r>
        <w:rPr>
          <w:rFonts w:hint="eastAsia" w:ascii="宋体" w:hAnsi="宋体" w:cs="宋体"/>
          <w:bCs/>
          <w:color w:val="auto"/>
          <w:sz w:val="24"/>
          <w:highlight w:val="none"/>
        </w:rPr>
        <w:t xml:space="preserve">4</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12</w:t>
      </w:r>
      <w:r>
        <w:rPr>
          <w:rFonts w:hint="eastAsia" w:ascii="宋体" w:hAnsi="宋体" w:cs="宋体"/>
          <w:bCs/>
          <w:color w:val="auto"/>
          <w:sz w:val="24"/>
          <w:highlight w:val="none"/>
          <w:lang w:val="zh-CN"/>
        </w:rPr>
        <w:t xml:space="preserve">《中小企业声明函》或残疾人福利性单位声明函</w:t>
      </w:r>
      <w:r>
        <w:rPr>
          <w:rFonts w:hint="eastAsia" w:ascii="宋体" w:hAnsi="宋体" w:cs="宋体"/>
          <w:bCs/>
          <w:color w:val="auto"/>
          <w:sz w:val="24"/>
          <w:highlight w:val="none"/>
        </w:rPr>
        <w:t xml:space="preserve">或</w:t>
      </w:r>
      <w:r>
        <w:rPr>
          <w:rFonts w:hint="eastAsia" w:ascii="宋体" w:hAnsi="宋体" w:cs="宋体"/>
          <w:bCs/>
          <w:color w:val="auto"/>
          <w:sz w:val="24"/>
          <w:highlight w:val="none"/>
          <w:lang w:val="zh-CN"/>
        </w:rPr>
        <w:t xml:space="preserve">省级以上监狱管理局、戒毒管理局（含新疆生产建设兵团）出具的属于监狱企业的证明文件；</w:t>
      </w:r>
      <w:r/>
    </w:p>
    <w:p>
      <w:pPr>
        <w:ind w:firstLine="511"/>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13.4.13未被“信用中国”网站（www.creditchina.gov.cn）列入失信被执行人、重</w:t>
      </w:r>
      <w:r>
        <w:rPr>
          <w:rFonts w:hint="eastAsia" w:ascii="宋体" w:hAnsi="宋体" w:cs="宋体"/>
          <w:color w:val="auto"/>
          <w:sz w:val="24"/>
          <w:highlight w:val="none"/>
        </w:rPr>
        <w:t xml:space="preserve">大税收违法案件当事人名单、政府采购严重失信行为记录名单；</w:t>
      </w:r>
      <w:r/>
    </w:p>
    <w:p>
      <w:pPr>
        <w:ind w:firstLine="513"/>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13.5符合性审查文件（符合性审查文件中不可出现价格内容）</w:t>
      </w:r>
      <w:r/>
    </w:p>
    <w:p>
      <w:pPr>
        <w:ind w:firstLine="480"/>
        <w:spacing w:line="360" w:lineRule="auto"/>
        <w:tabs>
          <w:tab w:val="left" w:pos="8930" w:leader="none"/>
          <w:tab w:val="left" w:pos="9306"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13.5.1投标函；</w:t>
      </w:r>
      <w:r/>
    </w:p>
    <w:p>
      <w:pPr>
        <w:ind w:firstLine="480"/>
        <w:spacing w:line="360" w:lineRule="auto"/>
        <w:tabs>
          <w:tab w:val="left" w:pos="8930" w:leader="none"/>
          <w:tab w:val="left" w:pos="9306" w:leader="none"/>
        </w:tabs>
        <w:rPr>
          <w:rFonts w:ascii="宋体" w:hAnsi="宋体" w:cs="宋体"/>
          <w:color w:val="auto"/>
          <w:sz w:val="24"/>
          <w:highlight w:val="none"/>
          <w:lang w:val="zh-CN"/>
        </w:rPr>
      </w:pPr>
      <w:r>
        <w:rPr>
          <w:rFonts w:ascii="宋体" w:hAnsi="宋体" w:cs="宋体"/>
          <w:color w:val="auto"/>
          <w:sz w:val="24"/>
          <w:highlight w:val="none"/>
          <w:lang w:val="zh-CN"/>
        </w:rPr>
        <w:t xml:space="preserve">13.5.2偏离表（服务、商务）；</w:t>
      </w:r>
      <w:r/>
    </w:p>
    <w:p>
      <w:pPr>
        <w:ind w:firstLine="480"/>
        <w:spacing w:line="360" w:lineRule="auto"/>
        <w:tabs>
          <w:tab w:val="left" w:pos="8930" w:leader="none"/>
          <w:tab w:val="left" w:pos="9306" w:leader="none"/>
        </w:tabs>
        <w:rPr>
          <w:rFonts w:ascii="宋体" w:hAnsi="宋体" w:cs="宋体"/>
          <w:color w:val="auto"/>
          <w:sz w:val="24"/>
          <w:highlight w:val="none"/>
          <w:lang w:val="zh-CN"/>
        </w:rPr>
      </w:pPr>
      <w:r>
        <w:rPr>
          <w:rFonts w:ascii="宋体" w:hAnsi="宋体" w:cs="宋体"/>
          <w:color w:val="auto"/>
          <w:sz w:val="24"/>
          <w:highlight w:val="none"/>
          <w:lang w:val="zh-CN"/>
        </w:rPr>
        <w:t xml:space="preserve">1</w:t>
      </w:r>
      <w:r>
        <w:rPr>
          <w:rFonts w:ascii="宋体" w:hAnsi="宋体" w:cs="宋体"/>
          <w:color w:val="auto"/>
          <w:sz w:val="24"/>
          <w:highlight w:val="none"/>
        </w:rPr>
        <w:t xml:space="preserve">3.5.3</w:t>
      </w:r>
      <w:r>
        <w:rPr>
          <w:rFonts w:ascii="宋体" w:hAnsi="宋体" w:cs="宋体"/>
          <w:color w:val="auto"/>
          <w:sz w:val="24"/>
          <w:highlight w:val="none"/>
          <w:lang w:val="zh-CN"/>
        </w:rPr>
        <w:t xml:space="preserve">投标（响应）</w:t>
      </w:r>
      <w:r>
        <w:rPr>
          <w:rFonts w:hint="eastAsia" w:ascii="宋体" w:hAnsi="宋体" w:cs="宋体"/>
          <w:color w:val="auto"/>
          <w:sz w:val="24"/>
          <w:highlight w:val="none"/>
          <w:lang w:val="zh-CN"/>
        </w:rPr>
        <w:t xml:space="preserve">服务</w:t>
      </w:r>
      <w:r>
        <w:rPr>
          <w:rFonts w:ascii="宋体" w:hAnsi="宋体" w:cs="宋体"/>
          <w:color w:val="auto"/>
          <w:sz w:val="24"/>
          <w:highlight w:val="none"/>
          <w:lang w:val="zh-CN"/>
        </w:rPr>
        <w:t xml:space="preserve">承诺书；设备、工具及易耗品清单表；</w:t>
      </w:r>
      <w:r/>
    </w:p>
    <w:p>
      <w:pPr>
        <w:ind w:firstLine="480"/>
        <w:spacing w:line="360" w:lineRule="auto"/>
        <w:tabs>
          <w:tab w:val="left" w:pos="8930" w:leader="none"/>
          <w:tab w:val="left" w:pos="9306" w:leader="none"/>
        </w:tabs>
        <w:rPr>
          <w:rFonts w:ascii="宋体" w:hAnsi="宋体" w:cs="宋体"/>
          <w:color w:val="auto"/>
          <w:sz w:val="24"/>
          <w:highlight w:val="none"/>
          <w:lang w:val="zh-CN"/>
        </w:rPr>
      </w:pPr>
      <w:r>
        <w:rPr>
          <w:rFonts w:ascii="宋体" w:hAnsi="宋体" w:cs="宋体"/>
          <w:color w:val="auto"/>
          <w:sz w:val="24"/>
          <w:highlight w:val="none"/>
          <w:lang w:val="zh-CN"/>
        </w:rPr>
        <w:t xml:space="preserve">1</w:t>
      </w:r>
      <w:r>
        <w:rPr>
          <w:rFonts w:ascii="宋体" w:hAnsi="宋体" w:cs="宋体"/>
          <w:color w:val="auto"/>
          <w:sz w:val="24"/>
          <w:highlight w:val="none"/>
        </w:rPr>
        <w:t xml:space="preserve">3.5.4</w:t>
      </w:r>
      <w:r>
        <w:rPr>
          <w:rFonts w:ascii="宋体" w:hAnsi="宋体" w:cs="宋体"/>
          <w:color w:val="auto"/>
          <w:sz w:val="24"/>
          <w:highlight w:val="none"/>
          <w:lang w:val="zh-CN"/>
        </w:rPr>
        <w:t xml:space="preserve">项目组成员一览表；</w:t>
      </w:r>
      <w:r/>
    </w:p>
    <w:p>
      <w:pPr>
        <w:ind w:firstLine="480"/>
        <w:spacing w:line="360" w:lineRule="auto"/>
        <w:tabs>
          <w:tab w:val="left" w:pos="8930" w:leader="none"/>
          <w:tab w:val="left" w:pos="9306"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13.5.</w:t>
      </w:r>
      <w:r>
        <w:rPr>
          <w:rFonts w:ascii="宋体" w:hAnsi="宋体" w:cs="宋体"/>
          <w:color w:val="auto"/>
          <w:sz w:val="24"/>
          <w:highlight w:val="none"/>
        </w:rPr>
        <w:t xml:space="preserve">5</w:t>
      </w:r>
      <w:r>
        <w:rPr>
          <w:rFonts w:hint="eastAsia" w:ascii="宋体" w:hAnsi="宋体" w:cs="宋体"/>
          <w:color w:val="auto"/>
          <w:sz w:val="24"/>
          <w:highlight w:val="none"/>
          <w:lang w:val="zh-CN"/>
        </w:rPr>
        <w:t xml:space="preserve">其他有关符合性证明的文件（若有）；</w:t>
      </w:r>
      <w:r/>
    </w:p>
    <w:p>
      <w:pPr>
        <w:ind w:firstLine="482"/>
        <w:spacing w:line="360" w:lineRule="auto"/>
        <w:tabs>
          <w:tab w:val="left" w:pos="8930" w:leader="none"/>
          <w:tab w:val="left" w:pos="9306" w:leader="none"/>
        </w:tabs>
        <w:rPr>
          <w:rFonts w:ascii="宋体" w:hAnsi="宋体" w:cs="宋体"/>
          <w:b/>
          <w:bCs/>
          <w:color w:val="auto"/>
          <w:sz w:val="24"/>
          <w:highlight w:val="none"/>
        </w:rPr>
      </w:pPr>
      <w:r>
        <w:rPr>
          <w:rFonts w:hint="eastAsia" w:ascii="宋体" w:hAnsi="宋体" w:cs="宋体"/>
          <w:b/>
          <w:bCs/>
          <w:color w:val="auto"/>
          <w:sz w:val="24"/>
          <w:highlight w:val="none"/>
        </w:rPr>
        <w:t xml:space="preserve">13.6综合评审文件：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13.6.1评分标准中所涉及到的各项方案、相关制度及其他材料、证明等。</w:t>
      </w:r>
      <w:r/>
    </w:p>
    <w:p>
      <w:pPr>
        <w:pStyle w:val="966"/>
        <w:ind w:firstLine="49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注：（1）以上13.4.1-</w:t>
      </w:r>
      <w:r>
        <w:rPr>
          <w:rFonts w:hint="eastAsia" w:ascii="宋体" w:hAnsi="宋体" w:cs="宋体"/>
          <w:b/>
          <w:bCs/>
          <w:color w:val="auto"/>
          <w:sz w:val="24"/>
          <w:highlight w:val="none"/>
        </w:rPr>
        <w:t xml:space="preserve">13.</w:t>
      </w:r>
      <w:r>
        <w:rPr>
          <w:rFonts w:hint="eastAsia" w:ascii="宋体" w:hAnsi="宋体" w:cs="宋体"/>
          <w:b/>
          <w:bCs/>
          <w:color w:val="auto"/>
          <w:sz w:val="24"/>
          <w:highlight w:val="none"/>
          <w:lang w:val="en-US"/>
        </w:rPr>
        <w:t xml:space="preserve">4</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rPr>
        <w:t xml:space="preserve">13为资格审查要求提供的材料，是作为对供应商资格审查、质疑身份认定的依据，投标人必须提供并加盖电子公章。否则，投标文件将被认定为不符合资格审查要求。</w:t>
      </w:r>
      <w:r/>
    </w:p>
    <w:p>
      <w:pPr>
        <w:pStyle w:val="966"/>
        <w:ind w:firstLine="49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（2）以上13.5.1-13.5.</w:t>
      </w:r>
      <w:r>
        <w:rPr>
          <w:rFonts w:ascii="宋体" w:hAnsi="宋体" w:cs="宋体"/>
          <w:b/>
          <w:bCs/>
          <w:color w:val="auto"/>
          <w:sz w:val="24"/>
          <w:highlight w:val="none"/>
          <w:lang w:val="en-US"/>
        </w:rPr>
        <w:t xml:space="preserve">4</w:t>
      </w:r>
      <w:r>
        <w:rPr>
          <w:rFonts w:hint="eastAsia" w:ascii="宋体" w:hAnsi="宋体" w:cs="宋体"/>
          <w:b/>
          <w:bCs/>
          <w:color w:val="auto"/>
          <w:sz w:val="24"/>
          <w:highlight w:val="none"/>
          <w:lang w:val="en-US"/>
        </w:rPr>
        <w:t xml:space="preserve">为符合性审查须提供的资料，投标人必须提供并加盖电子公章。否则，投标文件将被认定为未实质性响应。</w:t>
      </w:r>
      <w:r/>
    </w:p>
    <w:p>
      <w:pPr>
        <w:pStyle w:val="966"/>
        <w:ind w:firstLine="49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（3）制作电子投标文件时必须与投标文件制作软件目录一一对应，将相关资料上传至相应模块。</w:t>
      </w:r>
      <w:r/>
    </w:p>
    <w:p>
      <w:pPr>
        <w:pStyle w:val="966"/>
        <w:ind w:firstLine="492"/>
        <w:spacing w:line="360" w:lineRule="auto"/>
        <w:rPr>
          <w:rFonts w:ascii="宋体" w:hAnsi="宋体" w:cs="宋体"/>
          <w:b/>
          <w:bCs/>
          <w:color w:val="auto"/>
          <w:sz w:val="24"/>
          <w:highlight w:val="none"/>
          <w:lang w:val="en-US"/>
        </w:rPr>
      </w:pPr>
      <w:r>
        <w:rPr>
          <w:rFonts w:hint="eastAsia" w:ascii="宋体" w:hAnsi="宋体" w:cs="宋体"/>
          <w:b/>
          <w:bCs/>
          <w:color w:val="auto"/>
          <w:sz w:val="24"/>
          <w:highlight w:val="none"/>
          <w:lang w:val="en-US"/>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Cs/>
          <w:color w:val="auto"/>
          <w:sz w:val="24"/>
          <w:highlight w:val="none"/>
        </w:rPr>
      </w:pPr>
      <w:r>
        <w:rPr>
          <w:rFonts w:hint="eastAsia" w:ascii="宋体" w:hAnsi="宋体" w:cs="宋体"/>
          <w:b/>
          <w:color w:val="auto"/>
          <w:sz w:val="24"/>
          <w:highlight w:val="none"/>
        </w:rPr>
        <w:t xml:space="preserve">（5）</w:t>
      </w:r>
      <w:r>
        <w:rPr>
          <w:rFonts w:hint="eastAsia" w:ascii="宋体" w:hAnsi="宋体" w:cs="宋体"/>
          <w:bCs/>
          <w:color w:val="auto"/>
          <w:sz w:val="24"/>
          <w:highlight w:val="none"/>
        </w:rPr>
        <w:t xml:space="preserve">本项目采用电子招投标形式，请供应商按照《苏采云系统供应商操作手册》进行制作、上传电子响应文件。</w:t>
      </w:r>
      <w:r>
        <w:rPr>
          <w:rFonts w:hint="eastAsia" w:ascii="宋体" w:hAnsi="宋体" w:cs="宋体"/>
          <w:b/>
          <w:bCs/>
          <w:color w:val="auto"/>
          <w:sz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4"/>
          <w:highlight w:val="none"/>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ascii="宋体" w:hAnsi="宋体" w:cs="宋体"/>
          <w:b/>
          <w:color w:val="auto"/>
          <w:sz w:val="24"/>
          <w:highlight w:val="none"/>
        </w:rPr>
        <w:outlineLvl w:val="0"/>
      </w:pPr>
      <w:r>
        <w:rPr>
          <w:rFonts w:hint="eastAsia" w:ascii="宋体" w:hAnsi="宋体" w:cs="宋体"/>
          <w:color w:val="auto"/>
          <w:sz w:val="24"/>
          <w:szCs w:val="22"/>
          <w:highlight w:val="none"/>
        </w:rPr>
        <w:t xml:space="preserve">（6）如投标（响应）文件制作机器码信息一致，视为不同投标供应商使用同一台电脑编制投标（响应）文件，投标（响应）无效。</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14、投标文件编制要求 </w:t>
      </w:r>
      <w:r/>
    </w:p>
    <w:p>
      <w:pPr>
        <w:ind w:firstLine="470"/>
        <w:spacing w:line="360" w:lineRule="auto"/>
        <w:rPr>
          <w:rFonts w:ascii="宋体" w:hAnsi="宋体" w:cs="宋体"/>
          <w:color w:val="auto"/>
          <w:sz w:val="24"/>
          <w:szCs w:val="22"/>
          <w:highlight w:val="none"/>
        </w:rPr>
        <w:outlineLvl w:val="0"/>
      </w:pPr>
      <w:r>
        <w:rPr>
          <w:rFonts w:hint="eastAsia" w:ascii="宋体" w:hAnsi="宋体" w:cs="宋体"/>
          <w:color w:val="auto"/>
          <w:sz w:val="24"/>
          <w:szCs w:val="22"/>
          <w:highlight w:val="none"/>
          <w:lang w:val="zh-CN"/>
        </w:rPr>
        <w:t xml:space="preserve">14.1本项目采用电子招投标形式，请供应商按照《苏采云系统供应商操作手册》进行制作、上传电子投标文件。</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14.2《开标一览表》为在开标仪式上唱标的内容，要求按格式填写，统一规范，不得自行增减内容。</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14.3</w:t>
      </w:r>
      <w:r>
        <w:rPr>
          <w:rFonts w:hint="eastAsia" w:ascii="宋体" w:hAnsi="宋体" w:cs="宋体"/>
          <w:b/>
          <w:bCs/>
          <w:color w:val="auto"/>
          <w:sz w:val="24"/>
          <w:highlight w:val="none"/>
          <w:lang w:val="en-US"/>
        </w:rPr>
        <w:t xml:space="preserve">电子投标文件制作完成后请于投标文件网上提交截止时间前成功上传至“苏采云”系统，否则视为放弃参加该采购项目。</w:t>
      </w:r>
      <w:bookmarkStart w:id="42" w:name="_Toc31150"/>
      <w:r/>
      <w:bookmarkStart w:id="43" w:name="_Toc25608"/>
      <w:r>
        <w:rPr>
          <w:rFonts w:hint="eastAsia" w:ascii="宋体" w:hAnsi="宋体" w:cs="宋体"/>
          <w:color w:val="auto"/>
          <w:sz w:val="24"/>
          <w:szCs w:val="22"/>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spacing w:line="360" w:lineRule="auto"/>
        <w:rPr>
          <w:rFonts w:ascii="宋体" w:hAnsi="宋体" w:cs="宋体"/>
          <w:color w:val="auto"/>
          <w:sz w:val="24"/>
          <w:highlight w:val="none"/>
          <w:lang w:val="zh-CN"/>
        </w:rPr>
      </w:pPr>
      <w:r>
        <w:rPr>
          <w:rFonts w:hint="eastAsia" w:ascii="宋体" w:hAnsi="宋体" w:cs="宋体"/>
          <w:b/>
          <w:bCs/>
          <w:color w:val="auto"/>
          <w:sz w:val="24"/>
          <w:highlight w:val="none"/>
        </w:rPr>
        <w:t xml:space="preserve">14.3 投标报价（编制）要求的说明</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14.3.1除非合同中另有规定，投标人对《开标一览表》 中的全部内容的报价</w:t>
      </w:r>
      <w:r>
        <w:rPr>
          <w:rFonts w:hint="eastAsia" w:ascii="宋体" w:hAnsi="宋体" w:cs="宋体"/>
          <w:color w:val="auto"/>
          <w:sz w:val="24"/>
          <w:highlight w:val="none"/>
        </w:rPr>
        <w:t xml:space="preserve">包括完成该项工作（含巡视、维护、应急抢险等）所列的服务管理内容及技术措施费、安全文明措施费、风险费、材料、机械设备、安装、维护作业范围内的建筑垃圾等杂物的清运费、废料处置费、人工（包括人员劳务费、加班费、福利费、社保等）、作业人员人身意外保险以及在从事该劳动过程中发生的其它费用（含法律法规应缴的费用）、公众责任保险、劳保、维护、代理服务费、利润、税金、政策性文件规定及合同包含的所有风险、责任等各项所有费用，并在服务期限内不受政策因素影响</w:t>
      </w:r>
      <w:r>
        <w:rPr>
          <w:rFonts w:hint="eastAsia" w:ascii="宋体" w:hAnsi="宋体" w:cs="宋体"/>
          <w:color w:val="auto"/>
          <w:sz w:val="24"/>
          <w:highlight w:val="none"/>
          <w:lang w:val="zh-CN"/>
        </w:rPr>
        <w:t xml:space="preserve">。同时，除非合同条款中另有规定，否则，投标人所报价格在合同实施期间不因市场变化因素而变动。</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rPr>
        <w:t xml:space="preserve">本项目不分标段。</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14.3.4 一项投标内容只允许一个报价，采购代理机构不接受任何有选择性的投标报价。</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14.3.5投标文件报价中的单价和总价全部采用人民币表示，除非合同的特殊条款另有规定。</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14.3.6最低的投标报价或最高的</w:t>
      </w:r>
      <w:r>
        <w:rPr>
          <w:rFonts w:hint="eastAsia" w:ascii="宋体" w:hAnsi="宋体" w:cs="宋体"/>
          <w:color w:val="auto"/>
          <w:sz w:val="24"/>
          <w:highlight w:val="none"/>
        </w:rPr>
        <w:t xml:space="preserve">优惠</w:t>
      </w:r>
      <w:r>
        <w:rPr>
          <w:rFonts w:hint="eastAsia" w:ascii="宋体" w:hAnsi="宋体" w:cs="宋体"/>
          <w:color w:val="auto"/>
          <w:sz w:val="24"/>
          <w:highlight w:val="none"/>
          <w:lang w:val="zh-CN"/>
        </w:rPr>
        <w:t xml:space="preserve">比例是中标的重要条件，但不是中标的唯一条件。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15、投标文件的签署</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    投标文件每一页均应加盖供应商电子签章.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16、投标保证金</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本项目不收取投标保证金</w:t>
      </w:r>
      <w:r/>
    </w:p>
    <w:p>
      <w:pPr>
        <w:spacing w:line="360" w:lineRule="auto"/>
        <w:rPr>
          <w:rFonts w:ascii="宋体" w:hAnsi="宋体" w:cs="宋体"/>
          <w:b/>
          <w:color w:val="auto"/>
          <w:sz w:val="24"/>
          <w:highlight w:val="none"/>
        </w:rPr>
      </w:pPr>
      <w:r>
        <w:rPr>
          <w:rFonts w:hint="eastAsia" w:ascii="宋体" w:hAnsi="宋体" w:cs="宋体"/>
          <w:b/>
          <w:bCs/>
          <w:color w:val="auto"/>
          <w:sz w:val="24"/>
          <w:highlight w:val="none"/>
          <w:lang w:val="zh-CN"/>
        </w:rPr>
        <w:t xml:space="preserve">17、投标文件的有效期</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17.1自投标截止时间之日起__</w:t>
      </w:r>
      <w:r>
        <w:rPr>
          <w:rFonts w:hint="eastAsia" w:ascii="宋体" w:hAnsi="宋体" w:cs="宋体"/>
          <w:color w:val="auto"/>
          <w:sz w:val="24"/>
          <w:highlight w:val="none"/>
          <w:u w:val="single"/>
        </w:rPr>
        <w:t xml:space="preserve">45</w:t>
      </w:r>
      <w:r>
        <w:rPr>
          <w:rFonts w:hint="eastAsia" w:ascii="宋体" w:hAnsi="宋体" w:cs="宋体"/>
          <w:color w:val="auto"/>
          <w:sz w:val="24"/>
          <w:highlight w:val="none"/>
          <w:lang w:val="zh-CN"/>
        </w:rPr>
        <w:t xml:space="preserve">__天，投标书应保持有效。有效期短于这个规定期限的投标，将被拒绝。</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17.2在特殊情况下，采购代理机构可与投标人协商延长投标书的有效期。这种要求和答复都应以书面、传真的形式进行。</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五、</w:t>
      </w:r>
      <w:r>
        <w:rPr>
          <w:rFonts w:hint="eastAsia" w:ascii="宋体" w:hAnsi="宋体" w:cs="宋体"/>
          <w:b/>
          <w:color w:val="auto"/>
          <w:sz w:val="24"/>
          <w:highlight w:val="none"/>
        </w:rPr>
        <w:t xml:space="preserve">投标文件的递交、补充、修改和撤回</w:t>
      </w:r>
      <w:r/>
    </w:p>
    <w:p>
      <w:pPr>
        <w:pStyle w:val="966"/>
        <w:ind w:firstLine="0"/>
        <w:spacing w:line="360" w:lineRule="auto"/>
        <w:rPr>
          <w:rFonts w:ascii="宋体" w:hAnsi="宋体" w:cs="宋体"/>
          <w:b/>
          <w:color w:val="auto"/>
          <w:sz w:val="24"/>
          <w:highlight w:val="none"/>
        </w:rPr>
      </w:pPr>
      <w:r>
        <w:rPr>
          <w:rFonts w:hint="eastAsia" w:ascii="宋体" w:hAnsi="宋体" w:cs="宋体"/>
          <w:b/>
          <w:color w:val="auto"/>
          <w:sz w:val="24"/>
          <w:highlight w:val="none"/>
          <w:lang w:val="en-US"/>
        </w:rPr>
        <w:t xml:space="preserve">18、</w:t>
      </w:r>
      <w:r>
        <w:rPr>
          <w:rFonts w:hint="eastAsia" w:ascii="宋体" w:hAnsi="宋体" w:cs="宋体"/>
          <w:b/>
          <w:color w:val="auto"/>
          <w:sz w:val="24"/>
          <w:highlight w:val="none"/>
        </w:rPr>
        <w:t xml:space="preserve">投标文件的递交</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18</w:t>
      </w:r>
      <w:r>
        <w:rPr>
          <w:rFonts w:hint="eastAsia" w:ascii="宋体" w:hAnsi="宋体" w:cs="宋体"/>
          <w:color w:val="auto"/>
          <w:sz w:val="24"/>
          <w:highlight w:val="none"/>
        </w:rPr>
        <w:t xml:space="preserve">.1投标人应当在在投标截止时间前制作并上传电子投标文件。</w:t>
      </w:r>
      <w:r/>
    </w:p>
    <w:p>
      <w:pPr>
        <w:pStyle w:val="950"/>
        <w:ind w:firstLine="480"/>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18.2投标人通过</w:t>
      </w:r>
      <w:r>
        <w:rPr>
          <w:rFonts w:hint="eastAsia" w:ascii="宋体" w:hAnsi="宋体" w:eastAsia="宋体" w:cs="宋体"/>
          <w:b/>
          <w:bCs/>
          <w:color w:val="auto"/>
          <w:szCs w:val="24"/>
          <w:highlight w:val="none"/>
        </w:rPr>
        <w:t xml:space="preserve">“苏采云”系统不见面开标大厅在线参与开标活动。（具体操作详见《苏采云系统供应商操作手册》，网址链接https://czju.suzhou.gov.cn/zfcg/html/content/20231220161910031.shtml）</w:t>
      </w:r>
      <w:r/>
    </w:p>
    <w:p>
      <w:pPr>
        <w:pStyle w:val="966"/>
        <w:ind w:firstLine="0"/>
        <w:spacing w:line="360" w:lineRule="auto"/>
        <w:rPr>
          <w:rFonts w:ascii="宋体" w:hAnsi="宋体" w:cs="宋体"/>
          <w:b/>
          <w:color w:val="auto"/>
          <w:sz w:val="24"/>
          <w:highlight w:val="none"/>
        </w:rPr>
      </w:pPr>
      <w:r>
        <w:rPr>
          <w:rFonts w:hint="eastAsia" w:ascii="宋体" w:hAnsi="宋体" w:cs="宋体"/>
          <w:b/>
          <w:color w:val="auto"/>
          <w:sz w:val="24"/>
          <w:highlight w:val="none"/>
          <w:lang w:val="en-US"/>
        </w:rPr>
        <w:t xml:space="preserve">19、</w:t>
      </w:r>
      <w:r>
        <w:rPr>
          <w:rFonts w:hint="eastAsia" w:ascii="宋体" w:hAnsi="宋体" w:cs="宋体"/>
          <w:b/>
          <w:color w:val="auto"/>
          <w:sz w:val="24"/>
          <w:highlight w:val="none"/>
        </w:rPr>
        <w:t xml:space="preserve">投标截止时间</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19</w:t>
      </w:r>
      <w:r>
        <w:rPr>
          <w:rFonts w:hint="eastAsia" w:ascii="宋体" w:hAnsi="宋体" w:cs="宋体"/>
          <w:color w:val="auto"/>
          <w:sz w:val="24"/>
          <w:highlight w:val="none"/>
        </w:rPr>
        <w:t xml:space="preserve">.1投标人应当在招标文件要求投标文件网上提交截止时间前，将投标文件完成提交（上传）。逾期提交（上传）的投标文件，采购人和采购代理机构拒绝接收。</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19</w:t>
      </w:r>
      <w:r>
        <w:rPr>
          <w:rFonts w:hint="eastAsia" w:ascii="宋体" w:hAnsi="宋体" w:cs="宋体"/>
          <w:color w:val="auto"/>
          <w:sz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19</w:t>
      </w:r>
      <w:r>
        <w:rPr>
          <w:rFonts w:hint="eastAsia" w:ascii="宋体" w:hAnsi="宋体" w:cs="宋体"/>
          <w:color w:val="auto"/>
          <w:sz w:val="24"/>
          <w:highlight w:val="none"/>
        </w:rPr>
        <w:t xml:space="preserve">.3在投标截止时间</w:t>
      </w:r>
      <w:r>
        <w:rPr>
          <w:rFonts w:hint="eastAsia" w:ascii="宋体" w:hAnsi="宋体" w:cs="宋体"/>
          <w:color w:val="auto"/>
          <w:sz w:val="24"/>
          <w:highlight w:val="none"/>
          <w:lang w:val="en-US"/>
        </w:rPr>
        <w:t xml:space="preserve">投标单位少于三家的</w:t>
      </w:r>
      <w:r>
        <w:rPr>
          <w:rFonts w:hint="eastAsia" w:ascii="宋体" w:hAnsi="宋体" w:cs="宋体"/>
          <w:color w:val="auto"/>
          <w:sz w:val="24"/>
          <w:highlight w:val="none"/>
        </w:rPr>
        <w:t xml:space="preserve">，采购代理机构有权宣布本次招标失败。</w:t>
      </w:r>
      <w:r/>
    </w:p>
    <w:p>
      <w:pPr>
        <w:pStyle w:val="966"/>
        <w:ind w:firstLine="0"/>
        <w:spacing w:line="360" w:lineRule="auto"/>
        <w:rPr>
          <w:rFonts w:ascii="宋体" w:hAnsi="宋体" w:cs="宋体"/>
          <w:b/>
          <w:color w:val="auto"/>
          <w:sz w:val="24"/>
          <w:highlight w:val="none"/>
        </w:rPr>
      </w:pPr>
      <w:r>
        <w:rPr>
          <w:rFonts w:hint="eastAsia" w:ascii="宋体" w:hAnsi="宋体" w:cs="宋体"/>
          <w:b/>
          <w:color w:val="auto"/>
          <w:sz w:val="24"/>
          <w:highlight w:val="none"/>
          <w:lang w:val="en-US"/>
        </w:rPr>
        <w:t xml:space="preserve">20</w:t>
      </w:r>
      <w:r>
        <w:rPr>
          <w:rFonts w:hint="eastAsia" w:ascii="宋体" w:hAnsi="宋体" w:cs="宋体"/>
          <w:b/>
          <w:color w:val="auto"/>
          <w:sz w:val="24"/>
          <w:highlight w:val="none"/>
        </w:rPr>
        <w:t xml:space="preserve">.投标文件的补充、修改和撤回</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20</w:t>
      </w:r>
      <w:r>
        <w:rPr>
          <w:rFonts w:hint="eastAsia" w:ascii="宋体" w:hAnsi="宋体" w:cs="宋体"/>
          <w:color w:val="auto"/>
          <w:sz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20</w:t>
      </w:r>
      <w:r>
        <w:rPr>
          <w:rFonts w:hint="eastAsia" w:ascii="宋体" w:hAnsi="宋体" w:cs="宋体"/>
          <w:color w:val="auto"/>
          <w:sz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六、开标和评标 </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21</w:t>
      </w:r>
      <w:r>
        <w:rPr>
          <w:rFonts w:hint="eastAsia" w:ascii="宋体" w:hAnsi="宋体" w:cs="宋体"/>
          <w:b/>
          <w:bCs/>
          <w:color w:val="auto"/>
          <w:sz w:val="24"/>
          <w:highlight w:val="none"/>
          <w:lang w:val="zh-CN"/>
        </w:rPr>
        <w:t xml:space="preserve">、开标</w:t>
      </w:r>
      <w:r/>
    </w:p>
    <w:p>
      <w:pPr>
        <w:pStyle w:val="966"/>
        <w:ind w:firstLine="420"/>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21.1</w:t>
      </w:r>
      <w:r>
        <w:rPr>
          <w:rFonts w:hint="eastAsia" w:ascii="宋体" w:hAnsi="宋体" w:cs="宋体"/>
          <w:color w:val="auto"/>
          <w:sz w:val="24"/>
          <w:highlight w:val="none"/>
        </w:rPr>
        <w:t xml:space="preserve">开标由采购代理机构</w:t>
      </w:r>
      <w:r>
        <w:rPr>
          <w:rFonts w:hint="eastAsia" w:ascii="宋体" w:hAnsi="宋体" w:cs="宋体"/>
          <w:color w:val="auto"/>
          <w:sz w:val="24"/>
          <w:highlight w:val="none"/>
          <w:lang w:val="en-US"/>
        </w:rPr>
        <w:t xml:space="preserve">在线</w:t>
      </w:r>
      <w:r>
        <w:rPr>
          <w:rFonts w:hint="eastAsia" w:ascii="宋体" w:hAnsi="宋体" w:cs="宋体"/>
          <w:color w:val="auto"/>
          <w:sz w:val="24"/>
          <w:highlight w:val="none"/>
        </w:rPr>
        <w:t xml:space="preserve">主持，邀请投标人</w:t>
      </w:r>
      <w:r>
        <w:rPr>
          <w:rFonts w:hint="eastAsia" w:ascii="宋体" w:hAnsi="宋体" w:cs="宋体"/>
          <w:color w:val="auto"/>
          <w:sz w:val="24"/>
          <w:highlight w:val="none"/>
          <w:lang w:val="en-US"/>
        </w:rPr>
        <w:t xml:space="preserve">在线</w:t>
      </w:r>
      <w:r>
        <w:rPr>
          <w:rFonts w:hint="eastAsia" w:ascii="宋体" w:hAnsi="宋体" w:cs="宋体"/>
          <w:color w:val="auto"/>
          <w:sz w:val="24"/>
          <w:highlight w:val="none"/>
        </w:rPr>
        <w:t xml:space="preserve">参加。投标人应当按照《苏采云系统供应商操作手册》规定，</w:t>
      </w:r>
      <w:r>
        <w:rPr>
          <w:rFonts w:hint="eastAsia" w:ascii="宋体" w:hAnsi="宋体" w:cs="宋体"/>
          <w:b/>
          <w:color w:val="auto"/>
          <w:sz w:val="24"/>
          <w:highlight w:val="none"/>
        </w:rPr>
        <w:t xml:space="preserve">参加开标活动和在“苏采云”系统规定的时间内对投标文件进行解密</w:t>
      </w:r>
      <w:r>
        <w:rPr>
          <w:rFonts w:hint="eastAsia" w:ascii="宋体" w:hAnsi="宋体" w:cs="宋体"/>
          <w:color w:val="auto"/>
          <w:sz w:val="24"/>
          <w:highlight w:val="none"/>
        </w:rPr>
        <w:t xml:space="preserve">。评标委员会成员不得参加开标活动。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21.3</w:t>
      </w:r>
      <w:r>
        <w:rPr>
          <w:rFonts w:hint="eastAsia" w:ascii="宋体" w:hAnsi="宋体" w:cs="宋体"/>
          <w:color w:val="auto"/>
          <w:sz w:val="24"/>
          <w:highlight w:val="none"/>
          <w:lang w:val="zh-CN"/>
        </w:rPr>
        <w:t xml:space="preserve">投标人代表未参加开标的，视同认可开标结果。</w:t>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、资格审查</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.2.1查询时间：投标文件递交截止时间。</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.2.2查询渠道：</w:t>
      </w:r>
      <w:r>
        <w:rPr>
          <w:rFonts w:hint="eastAsia" w:ascii="宋体" w:hAnsi="宋体" w:cs="宋体"/>
          <w:bCs/>
          <w:color w:val="auto"/>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cs="宋体"/>
          <w:color w:val="auto"/>
          <w:sz w:val="24"/>
          <w:highlight w:val="none"/>
          <w:lang w:val="zh-CN"/>
        </w:rPr>
        <w:t xml:space="preserve">。</w:t>
      </w:r>
      <w:r/>
    </w:p>
    <w:p>
      <w:pPr>
        <w:ind w:firstLine="439"/>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22.5本项目通过上述资格审查的合格投标人不足三家的，不得评标。</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、评标委员会</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.1评标委员会（以下简称评委会）成员依法组建；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.3评委会组负责具体的评标事务，并独立履行以下职责：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.3.1审查、评价投标文件是否符合采购文件的商务、技术等实质性要求；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.3.2要求投标人对投标文件有关事项作出澄清或者说明；</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.3.3对投标文件进行比较和评价；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.3.4</w:t>
      </w:r>
      <w:r>
        <w:rPr>
          <w:rFonts w:hint="eastAsia" w:ascii="宋体" w:hAnsi="宋体" w:cs="宋体"/>
          <w:color w:val="auto"/>
          <w:sz w:val="24"/>
          <w:highlight w:val="none"/>
        </w:rPr>
        <w:t xml:space="preserve">签署评标报告、推荐中标候选人并根据采购方委托从中</w:t>
      </w:r>
      <w:r>
        <w:rPr>
          <w:rFonts w:hint="eastAsia" w:ascii="宋体" w:hAnsi="宋体" w:cs="宋体"/>
          <w:color w:val="auto"/>
          <w:sz w:val="24"/>
          <w:highlight w:val="none"/>
          <w:lang w:val="zh-CN"/>
        </w:rPr>
        <w:t xml:space="preserve">确定中标人；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.3.5向采购人、采购代理机构或者有关部门报告评标中发现的违法行为。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.4评委会成员应当履行下列义务：</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.4.1遵纪守法，客观、公正、廉洁地履行职责；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.4.3对评标过程和结果，以及投标人的商业秘密保密；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（一）招标公告刊登的媒体名称、开标日期和地点；</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（二）投标人名单和评标委员会成员名单；</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（三）评标方法和标准；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（四）开标记录和评标情况及说明，包括无效投标人名单及原因；</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.4.5配合招标采购人答复投标人提出的质疑；</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.4.6配合有关部门的投诉处理工作。</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val="zh-CN"/>
        </w:rPr>
        <w:t xml:space="preserve">、保密要求</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.1评标将在严格保密的情况下进行。</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zh-CN"/>
        </w:rPr>
        <w:t xml:space="preserve">、对投标文件初审</w:t>
      </w:r>
      <w:r/>
    </w:p>
    <w:p>
      <w:pPr>
        <w:spacing w:line="360" w:lineRule="auto"/>
        <w:rPr>
          <w:rFonts w:ascii="宋体" w:hAnsi="宋体" w:cs="宋体"/>
          <w:color w:val="auto"/>
          <w:sz w:val="24"/>
          <w:highlight w:val="none"/>
          <w:lang w:val="zh-CN"/>
        </w:rPr>
      </w:pPr>
      <w:r>
        <w:rPr>
          <w:rFonts w:hint="eastAsia" w:ascii="宋体" w:hAnsi="宋体" w:cs="宋体"/>
          <w:bCs/>
          <w:color w:val="auto"/>
          <w:sz w:val="24"/>
          <w:highlight w:val="none"/>
          <w:lang w:val="zh-CN"/>
        </w:rPr>
        <w:t xml:space="preserve">    </w:t>
      </w: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（一）投标文件未按招标文件要求签署、盖章的；</w:t>
      </w:r>
      <w:r/>
    </w:p>
    <w:p>
      <w:pPr>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（二）不具备招标文件中规定的资格要求的；</w:t>
      </w:r>
      <w:r/>
    </w:p>
    <w:p>
      <w:pPr>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　　（四）投标文件含有采购人不能接受的附加条件的；</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（五）法律、法规和招标文件规定的其他无效情形。</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在系统中出现供应商“机器码一致”情形的。</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.3对于投标文件中含义不明确、同类问题表述不一致或者有明显文字和计算错误的内容，评标委员会应当以书面形式要求投标人作出必要的澄清、说明或者补正。</w:t>
      </w:r>
      <w:r/>
    </w:p>
    <w:p>
      <w:pPr>
        <w:pStyle w:val="966"/>
        <w:ind w:firstLine="422"/>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rPr>
        <w:t xml:space="preserve">5</w:t>
      </w:r>
      <w:r>
        <w:rPr>
          <w:rFonts w:hint="eastAsia" w:ascii="宋体" w:hAnsi="宋体" w:cs="宋体"/>
          <w:color w:val="auto"/>
          <w:sz w:val="24"/>
          <w:highlight w:val="none"/>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66"/>
        <w:ind w:firstLine="42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.5.2大写金额和小写金额不一致的，以大写金额为准；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.5.3单价金额小数点或者百分比有明显错位的，以开标一览表的总价为准，并修改单价；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.5.4总价金额与按单价汇总金额不一致的，以单价金额计算结果为准。</w:t>
      </w:r>
      <w:r/>
    </w:p>
    <w:p>
      <w:pPr>
        <w:ind w:firstLine="482"/>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.6评审过程中出现下列情形之一的，评审委员会应当启动异常低价投标（响应）审查程序：</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）投标（响应）报价低于采购项目预算 50% 的，即投标（响应）报价&lt;采购项目预算×50%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）投标（响应）报价低于采购项目最高限价 45% 的，即投标（响应）报价&lt;采购项目最高限价×45% ；</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）评审委员会认定的供应商报价过低、有可能影响产品质量或者不能诚信履约的其他情形。</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23"/>
        <w:ind w:left="0" w:firstLine="482"/>
        <w:spacing w:after="0" w:line="360" w:lineRule="auto"/>
        <w:rPr>
          <w:rFonts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本项目投标人的澄清、说明或者补正采用线上澄清。</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.9对不同文字文本投标文件的解释发生异议的，以中文文本为准；</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6</w:t>
      </w:r>
      <w:r>
        <w:rPr>
          <w:rFonts w:hint="eastAsia" w:ascii="宋体" w:hAnsi="宋体" w:cs="宋体"/>
          <w:b/>
          <w:bCs/>
          <w:color w:val="auto"/>
          <w:sz w:val="24"/>
          <w:highlight w:val="none"/>
          <w:lang w:val="zh-CN"/>
        </w:rPr>
        <w:t xml:space="preserve">、废标</w:t>
      </w:r>
      <w:r/>
    </w:p>
    <w:p>
      <w:pPr>
        <w:ind w:firstLine="420"/>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2</w:t>
      </w:r>
      <w:r>
        <w:rPr>
          <w:rFonts w:hint="eastAsia" w:ascii="宋体" w:hAnsi="宋体" w:cs="宋体"/>
          <w:b/>
          <w:color w:val="auto"/>
          <w:sz w:val="24"/>
          <w:highlight w:val="none"/>
        </w:rPr>
        <w:t xml:space="preserve">6</w:t>
      </w:r>
      <w:r>
        <w:rPr>
          <w:rFonts w:hint="eastAsia" w:ascii="宋体" w:hAnsi="宋体" w:cs="宋体"/>
          <w:b/>
          <w:color w:val="auto"/>
          <w:sz w:val="24"/>
          <w:highlight w:val="none"/>
          <w:lang w:val="zh-CN"/>
        </w:rPr>
        <w:t xml:space="preserve">.1.4因重大变故，采购任务取消的； </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zh-CN"/>
        </w:rPr>
        <w:t xml:space="preserve">2</w:t>
      </w:r>
      <w:r>
        <w:rPr>
          <w:rFonts w:hint="eastAsia" w:ascii="宋体" w:hAnsi="宋体" w:cs="宋体"/>
          <w:b/>
          <w:bCs/>
          <w:color w:val="auto"/>
          <w:sz w:val="24"/>
          <w:highlight w:val="none"/>
        </w:rPr>
        <w:t xml:space="preserve">7</w:t>
      </w:r>
      <w:r>
        <w:rPr>
          <w:rFonts w:hint="eastAsia" w:ascii="宋体" w:hAnsi="宋体" w:cs="宋体"/>
          <w:b/>
          <w:bCs/>
          <w:color w:val="auto"/>
          <w:sz w:val="24"/>
          <w:highlight w:val="none"/>
          <w:lang w:val="zh-CN"/>
        </w:rPr>
        <w:t xml:space="preserve">、投标文件的评价和比较</w:t>
      </w:r>
      <w:r/>
    </w:p>
    <w:p>
      <w:pPr>
        <w:ind w:firstLine="42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.1评标委员会将仅对按</w:t>
      </w:r>
      <w:r>
        <w:rPr>
          <w:rFonts w:hint="eastAsia" w:ascii="宋体" w:hAnsi="宋体" w:cs="宋体"/>
          <w:color w:val="auto"/>
          <w:sz w:val="24"/>
          <w:highlight w:val="none"/>
        </w:rPr>
        <w:t xml:space="preserve">招标</w:t>
      </w:r>
      <w:r>
        <w:rPr>
          <w:rFonts w:hint="eastAsia" w:ascii="宋体" w:hAnsi="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.3 最低的投标报价或最高的折扣比例是中标的重要条件，但不是唯一条件。</w:t>
      </w:r>
      <w:r/>
    </w:p>
    <w:p>
      <w:pPr>
        <w:spacing w:line="360" w:lineRule="auto"/>
        <w:tabs>
          <w:tab w:val="left" w:pos="567" w:leader="none"/>
        </w:tabs>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七、确定中标原则：</w:t>
      </w:r>
      <w:r/>
    </w:p>
    <w:p>
      <w:pPr>
        <w:ind w:firstLine="480"/>
        <w:spacing w:line="360" w:lineRule="auto"/>
        <w:tabs>
          <w:tab w:val="left" w:pos="567" w:leader="none"/>
        </w:tabs>
        <w:rPr>
          <w:rFonts w:ascii="宋体" w:hAnsi="宋体" w:cs="宋体"/>
          <w:color w:val="auto"/>
          <w:sz w:val="24"/>
          <w:highlight w:val="none"/>
          <w:lang w:val="zh-CN"/>
        </w:rPr>
      </w:pPr>
      <w:r>
        <w:rPr>
          <w:rFonts w:hint="eastAsia" w:ascii="宋体" w:hAnsi="宋体" w:cs="宋体"/>
          <w:color w:val="auto"/>
          <w:sz w:val="24"/>
          <w:highlight w:val="none"/>
        </w:rPr>
        <w:t xml:space="preserve">28.1</w:t>
      </w:r>
      <w:r>
        <w:rPr>
          <w:rFonts w:hint="eastAsia" w:ascii="宋体" w:hAnsi="宋体" w:cs="宋体"/>
          <w:color w:val="auto"/>
          <w:sz w:val="24"/>
          <w:highlight w:val="none"/>
          <w:lang w:val="zh-CN"/>
        </w:rPr>
        <w:t xml:space="preserve">本次评标采用综合评分法</w:t>
      </w:r>
      <w:r/>
    </w:p>
    <w:p>
      <w:pPr>
        <w:ind w:firstLine="480"/>
        <w:spacing w:line="360" w:lineRule="auto"/>
        <w:tabs>
          <w:tab w:val="left" w:pos="567" w:leader="none"/>
        </w:tabs>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八、发出中标通知书</w:t>
      </w:r>
      <w:r/>
    </w:p>
    <w:p>
      <w:pPr>
        <w:pStyle w:val="966"/>
        <w:ind w:firstLine="42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rPr>
        <w:t xml:space="preserve">9</w:t>
      </w:r>
      <w:r>
        <w:rPr>
          <w:rFonts w:hint="eastAsia" w:ascii="宋体" w:hAnsi="宋体" w:cs="宋体"/>
          <w:color w:val="auto"/>
          <w:sz w:val="24"/>
          <w:highlight w:val="none"/>
        </w:rPr>
        <w:t xml:space="preserve">.1确定出中标人后，采购代理机构在法定时间内向中标人发出中标通知书。</w:t>
      </w:r>
      <w:r>
        <w:rPr>
          <w:rFonts w:hint="eastAsia" w:ascii="宋体" w:hAnsi="宋体" w:cs="宋体"/>
          <w:b/>
          <w:color w:val="auto"/>
          <w:sz w:val="24"/>
          <w:highlight w:val="none"/>
        </w:rPr>
        <w:t xml:space="preserve">请中标人在中标结果公告届满之日起30日内,使用CA证书登录“苏采云”系统及时下载中标通知书。</w:t>
      </w:r>
      <w:r>
        <w:rPr>
          <w:rFonts w:hint="eastAsia" w:ascii="宋体" w:hAnsi="宋体" w:cs="宋体"/>
          <w:color w:val="auto"/>
          <w:sz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ascii="宋体" w:hAnsi="宋体" w:cs="宋体"/>
          <w:color w:val="auto"/>
          <w:sz w:val="24"/>
          <w:highlight w:val="none"/>
          <w:lang w:val="zh-CN"/>
        </w:rPr>
      </w:pPr>
      <w:r>
        <w:rPr>
          <w:rFonts w:hint="eastAsia" w:ascii="宋体" w:hAnsi="宋体" w:cs="宋体"/>
          <w:color w:val="auto"/>
          <w:sz w:val="24"/>
          <w:highlight w:val="none"/>
        </w:rPr>
        <w:t xml:space="preserve">29</w:t>
      </w:r>
      <w:r>
        <w:rPr>
          <w:rFonts w:hint="eastAsia" w:ascii="宋体" w:hAnsi="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ascii="宋体" w:hAnsi="宋体" w:cs="宋体"/>
          <w:color w:val="auto"/>
          <w:sz w:val="24"/>
          <w:szCs w:val="22"/>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zh-CN"/>
        </w:rPr>
        <w:t xml:space="preserve">.3</w:t>
      </w:r>
      <w:r>
        <w:rPr>
          <w:rFonts w:hint="eastAsia" w:ascii="宋体" w:hAnsi="宋体" w:cs="宋体"/>
          <w:color w:val="auto"/>
          <w:sz w:val="24"/>
          <w:szCs w:val="22"/>
          <w:highlight w:val="none"/>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tabs>
          <w:tab w:val="left" w:pos="567"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九、中标单位的确认</w:t>
      </w:r>
      <w:r/>
    </w:p>
    <w:p>
      <w:pPr>
        <w:ind w:firstLine="480"/>
        <w:spacing w:line="360" w:lineRule="auto"/>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采购代理机构有权对该质疑不予答复。</w:t>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zh-CN"/>
        </w:rPr>
        <w:t xml:space="preserve">、告知招标结果</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31</w:t>
      </w:r>
      <w:r>
        <w:rPr>
          <w:rFonts w:hint="eastAsia" w:ascii="宋体" w:hAnsi="宋体" w:cs="宋体"/>
          <w:color w:val="auto"/>
          <w:sz w:val="24"/>
          <w:highlight w:val="none"/>
          <w:lang w:val="zh-CN"/>
        </w:rPr>
        <w:t xml:space="preserve">.1 对未通过资格审查的投标人，告知其未通过的原因。</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31</w:t>
      </w:r>
      <w:r>
        <w:rPr>
          <w:rFonts w:hint="eastAsia" w:ascii="宋体" w:hAnsi="宋体" w:cs="宋体"/>
          <w:color w:val="auto"/>
          <w:sz w:val="24"/>
          <w:highlight w:val="none"/>
          <w:lang w:val="zh-CN"/>
        </w:rPr>
        <w:t xml:space="preserve">.2 在发放中标通知书的同时，</w:t>
      </w:r>
      <w:r>
        <w:rPr>
          <w:rFonts w:hint="eastAsia" w:ascii="宋体" w:hAnsi="宋体" w:cs="宋体"/>
          <w:color w:val="auto"/>
          <w:sz w:val="24"/>
          <w:szCs w:val="22"/>
          <w:highlight w:val="none"/>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十</w:t>
      </w:r>
      <w:r>
        <w:rPr>
          <w:rFonts w:hint="eastAsia" w:ascii="宋体" w:hAnsi="宋体" w:cs="宋体"/>
          <w:b/>
          <w:color w:val="auto"/>
          <w:sz w:val="24"/>
          <w:highlight w:val="none"/>
        </w:rPr>
        <w:t xml:space="preserve">一</w:t>
      </w:r>
      <w:r>
        <w:rPr>
          <w:rFonts w:hint="eastAsia" w:ascii="宋体" w:hAnsi="宋体" w:cs="宋体"/>
          <w:b/>
          <w:color w:val="auto"/>
          <w:sz w:val="24"/>
          <w:highlight w:val="none"/>
          <w:lang w:val="zh-CN"/>
        </w:rPr>
        <w:t xml:space="preserve">、签订合同</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32</w:t>
      </w:r>
      <w:r>
        <w:rPr>
          <w:rFonts w:hint="eastAsia" w:ascii="宋体" w:hAnsi="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32</w:t>
      </w:r>
      <w:r>
        <w:rPr>
          <w:rFonts w:hint="eastAsia" w:ascii="宋体" w:hAnsi="宋体" w:cs="宋体"/>
          <w:color w:val="auto"/>
          <w:sz w:val="24"/>
          <w:highlight w:val="none"/>
          <w:lang w:val="zh-CN"/>
        </w:rPr>
        <w:t xml:space="preserve">.2招标文件、中标供应商的投标文件及其澄清文件等，均为签订合同的依据。</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32.</w:t>
      </w:r>
      <w:r>
        <w:rPr>
          <w:rFonts w:hint="eastAsia" w:ascii="宋体" w:hAnsi="宋体" w:cs="宋体"/>
          <w:color w:val="auto"/>
          <w:sz w:val="24"/>
          <w:highlight w:val="none"/>
          <w:lang w:val="zh-CN"/>
        </w:rPr>
        <w:t xml:space="preserve">3中标人无正当理由不得拒绝签订政府采购合同。</w:t>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十</w:t>
      </w:r>
      <w:r>
        <w:rPr>
          <w:rFonts w:hint="eastAsia" w:ascii="宋体" w:hAnsi="宋体" w:cs="宋体"/>
          <w:b/>
          <w:color w:val="auto"/>
          <w:sz w:val="24"/>
          <w:highlight w:val="none"/>
        </w:rPr>
        <w:t xml:space="preserve">二</w:t>
      </w:r>
      <w:r>
        <w:rPr>
          <w:rFonts w:hint="eastAsia" w:ascii="宋体" w:hAnsi="宋体" w:cs="宋体"/>
          <w:b/>
          <w:color w:val="auto"/>
          <w:sz w:val="24"/>
          <w:highlight w:val="none"/>
          <w:lang w:val="zh-CN"/>
        </w:rPr>
        <w:t xml:space="preserve">、其他事项</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33.1</w:t>
      </w:r>
      <w:r>
        <w:rPr>
          <w:rFonts w:hint="eastAsia" w:ascii="宋体" w:hAnsi="宋体" w:cs="宋体"/>
          <w:b/>
          <w:bCs/>
          <w:color w:val="auto"/>
          <w:sz w:val="24"/>
          <w:highlight w:val="none"/>
          <w:lang w:val="zh-CN"/>
        </w:rPr>
        <w:t xml:space="preserve">中标服务费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具体计算方式和支付金额按投标须知前附表要求为准。</w:t>
      </w:r>
      <w:r/>
    </w:p>
    <w:p>
      <w:pPr>
        <w:ind w:firstLine="502"/>
        <w:spacing w:line="360" w:lineRule="auto"/>
        <w:rPr>
          <w:rFonts w:ascii="宋体" w:hAnsi="宋体" w:cs="宋体"/>
          <w:color w:val="auto"/>
          <w:sz w:val="24"/>
          <w:highlight w:val="none"/>
          <w:u w:val="single"/>
          <w:lang w:val="zh-CN"/>
        </w:rPr>
      </w:pPr>
      <w:r>
        <w:rPr>
          <w:rFonts w:hint="eastAsia" w:ascii="宋体" w:hAnsi="宋体" w:cs="宋体"/>
          <w:color w:val="auto"/>
          <w:sz w:val="24"/>
          <w:highlight w:val="none"/>
          <w:u w:val="single"/>
          <w:lang w:val="zh-CN"/>
        </w:rPr>
        <w:t xml:space="preserve">账户名：苏州睿乔招投标咨询服务有限公司 </w:t>
      </w:r>
      <w:r/>
    </w:p>
    <w:p>
      <w:pPr>
        <w:ind w:firstLine="502"/>
        <w:spacing w:line="360" w:lineRule="auto"/>
        <w:rPr>
          <w:rFonts w:ascii="宋体" w:hAnsi="宋体" w:cs="宋体"/>
          <w:color w:val="auto"/>
          <w:sz w:val="24"/>
          <w:highlight w:val="none"/>
          <w:u w:val="single"/>
          <w:lang w:val="zh-CN"/>
        </w:rPr>
      </w:pPr>
      <w:r>
        <w:rPr>
          <w:rFonts w:hint="eastAsia" w:ascii="宋体" w:hAnsi="宋体" w:cs="宋体"/>
          <w:color w:val="auto"/>
          <w:sz w:val="24"/>
          <w:highlight w:val="none"/>
          <w:u w:val="single"/>
          <w:lang w:val="zh-CN"/>
        </w:rPr>
        <w:t xml:space="preserve">账  号：1102020209000937813</w:t>
      </w:r>
      <w:r/>
    </w:p>
    <w:p>
      <w:pPr>
        <w:ind w:firstLine="502"/>
        <w:spacing w:line="360" w:lineRule="auto"/>
        <w:rPr>
          <w:rFonts w:ascii="宋体" w:hAnsi="宋体" w:cs="宋体"/>
          <w:color w:val="auto"/>
          <w:sz w:val="24"/>
          <w:highlight w:val="none"/>
          <w:u w:val="single"/>
          <w:lang w:val="zh-CN"/>
        </w:rPr>
      </w:pPr>
      <w:r>
        <w:rPr>
          <w:rFonts w:hint="eastAsia" w:ascii="宋体" w:hAnsi="宋体" w:cs="宋体"/>
          <w:color w:val="auto"/>
          <w:sz w:val="24"/>
          <w:highlight w:val="none"/>
          <w:u w:val="single"/>
          <w:lang w:val="zh-CN"/>
        </w:rPr>
        <w:t xml:space="preserve">开户行：中国工商银行苏州道前支行 </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33.2</w:t>
      </w:r>
      <w:r>
        <w:rPr>
          <w:rFonts w:hint="eastAsia" w:ascii="宋体" w:hAnsi="宋体" w:cs="宋体"/>
          <w:b/>
          <w:bCs/>
          <w:color w:val="auto"/>
          <w:sz w:val="24"/>
          <w:highlight w:val="none"/>
          <w:lang w:val="zh-CN"/>
        </w:rPr>
        <w:t xml:space="preserve">监督</w:t>
      </w:r>
      <w:r/>
    </w:p>
    <w:p>
      <w:pPr>
        <w:ind w:firstLine="502"/>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33</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2.1</w:t>
      </w:r>
      <w:r>
        <w:rPr>
          <w:rFonts w:hint="eastAsia" w:ascii="宋体" w:hAnsi="宋体" w:cs="宋体"/>
          <w:color w:val="auto"/>
          <w:sz w:val="24"/>
          <w:highlight w:val="none"/>
          <w:lang w:val="zh-CN"/>
        </w:rPr>
        <w:t xml:space="preserve">政府有关监督部门将对招投标全过程进行监督。</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33.3</w:t>
      </w:r>
      <w:r>
        <w:rPr>
          <w:rFonts w:hint="eastAsia" w:ascii="宋体" w:hAnsi="宋体" w:cs="宋体"/>
          <w:b/>
          <w:bCs/>
          <w:color w:val="auto"/>
          <w:sz w:val="24"/>
          <w:highlight w:val="none"/>
          <w:lang w:val="zh-CN"/>
        </w:rPr>
        <w:t xml:space="preserve">未尽事宜</w:t>
      </w:r>
      <w:r/>
    </w:p>
    <w:p>
      <w:pPr>
        <w:ind w:firstLine="480"/>
        <w:spacing w:line="360" w:lineRule="auto"/>
        <w:rPr>
          <w:rStyle w:val="927"/>
          <w:rFonts w:ascii="宋体" w:hAnsi="宋体" w:cs="宋体"/>
          <w:bCs/>
          <w:color w:val="auto"/>
          <w:sz w:val="24"/>
          <w:highlight w:val="none"/>
        </w:rPr>
      </w:pPr>
      <w:r>
        <w:rPr>
          <w:rFonts w:hint="eastAsia" w:ascii="宋体" w:hAnsi="宋体" w:cs="宋体"/>
          <w:color w:val="auto"/>
          <w:sz w:val="24"/>
          <w:highlight w:val="none"/>
          <w:lang w:val="zh-CN"/>
        </w:rPr>
        <w:t xml:space="preserve">按《中华人民共和国政府采购法》及其他有关政府采购的法律法规的规定执行。</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36"/>
          <w:szCs w:val="36"/>
          <w:highlight w:val="none"/>
        </w:rPr>
      </w:pPr>
      <w:r>
        <w:rPr>
          <w:rFonts w:hint="eastAsia" w:ascii="宋体" w:hAnsi="宋体" w:cs="宋体"/>
          <w:color w:val="auto"/>
          <w:sz w:val="36"/>
          <w:szCs w:val="36"/>
          <w:highlight w:val="none"/>
        </w:rPr>
        <w:br w:type="page" w:clear="all"/>
      </w:r>
      <w: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 xml:space="preserve">第三章 投标文件格式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1、（投标方）法定代表人授权委托</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授权委托书</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35"/>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本授权书声明： </w:t>
      </w:r>
      <w:r>
        <w:rPr>
          <w:rFonts w:hint="eastAsia" w:ascii="宋体" w:hAnsi="宋体" w:cs="宋体"/>
          <w:color w:val="auto"/>
          <w:sz w:val="24"/>
          <w:highlight w:val="none"/>
          <w:u w:val="single"/>
        </w:rPr>
        <w:t xml:space="preserve">  （供应商名称）   </w:t>
      </w:r>
      <w:r>
        <w:rPr>
          <w:rFonts w:hint="eastAsia" w:ascii="宋体" w:hAnsi="宋体" w:cs="宋体"/>
          <w:color w:val="auto"/>
          <w:sz w:val="24"/>
          <w:highlight w:val="none"/>
        </w:rPr>
        <w:t xml:space="preserve">授权 </w:t>
      </w:r>
      <w:r>
        <w:rPr>
          <w:rFonts w:hint="eastAsia" w:ascii="宋体" w:hAnsi="宋体" w:cs="宋体"/>
          <w:color w:val="auto"/>
          <w:sz w:val="24"/>
          <w:highlight w:val="none"/>
          <w:u w:val="single"/>
        </w:rPr>
        <w:t xml:space="preserve"> （被授权人的姓名）</w:t>
      </w:r>
      <w:r>
        <w:rPr>
          <w:rFonts w:hint="eastAsia" w:ascii="宋体" w:hAnsi="宋体" w:cs="宋体"/>
          <w:color w:val="auto"/>
          <w:sz w:val="24"/>
          <w:highlight w:val="none"/>
        </w:rPr>
        <w:t xml:space="preserve">为我方授权代表（即代理人），参加</w:t>
      </w:r>
      <w:r>
        <w:rPr>
          <w:rFonts w:hint="eastAsia" w:ascii="宋体" w:hAnsi="宋体" w:cs="宋体"/>
          <w:color w:val="auto"/>
          <w:sz w:val="24"/>
          <w:highlight w:val="none"/>
          <w:u w:val="single"/>
        </w:rPr>
        <w:t xml:space="preserve">苏州睿乔招投标咨询服务有限公司</w:t>
      </w:r>
      <w:r>
        <w:rPr>
          <w:rFonts w:hint="eastAsia" w:ascii="宋体" w:hAnsi="宋体" w:cs="宋体"/>
          <w:color w:val="auto"/>
          <w:sz w:val="24"/>
          <w:highlight w:val="none"/>
        </w:rPr>
        <w:t xml:space="preserve">组织实施的编号为</w:t>
      </w:r>
      <w:r>
        <w:rPr>
          <w:rFonts w:hint="eastAsia" w:ascii="宋体" w:hAnsi="宋体" w:cs="宋体"/>
          <w:color w:val="auto"/>
          <w:sz w:val="24"/>
          <w:highlight w:val="none"/>
          <w:u w:val="single"/>
        </w:rPr>
        <w:t xml:space="preserve">   （采购编号）   </w:t>
      </w:r>
      <w:r>
        <w:rPr>
          <w:rFonts w:hint="eastAsia" w:ascii="宋体" w:hAnsi="宋体" w:cs="宋体"/>
          <w:color w:val="auto"/>
          <w:sz w:val="24"/>
          <w:highlight w:val="none"/>
        </w:rPr>
        <w:t xml:space="preserve">的招标活动。代理人在开标、评标、合同签订及处理有关事宜所作出的全部意思表示（包括签署的全部文件），我司均予以承认并由我司承担相应法律后果。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本授权委托书有效期自委托书作出之日起至本项目合同履行完毕之日止。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代理人无转委托权。</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被授权人身份证号码：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被授权人联系电话：</w:t>
      </w:r>
      <w:r>
        <w:rPr>
          <w:rFonts w:hint="eastAsia" w:ascii="宋体" w:hAnsi="宋体" w:cs="宋体"/>
          <w:color w:val="auto"/>
          <w:sz w:val="24"/>
          <w:highlight w:val="none"/>
          <w:u w:val="single"/>
        </w:rPr>
        <w:t xml:space="preserve">（手机）                </w:t>
      </w:r>
      <w:r>
        <w:rPr>
          <w:rFonts w:hint="eastAsia" w:ascii="宋体" w:hAnsi="宋体" w:cs="宋体"/>
          <w:color w:val="auto"/>
          <w:sz w:val="24"/>
          <w:highlight w:val="none"/>
        </w:rPr>
        <w:t xml:space="preserve">。          </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right="63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供应商名称：（加盖CA电子公章）                                    </w:t>
      </w:r>
      <w:r/>
    </w:p>
    <w:p>
      <w:pPr>
        <w:ind w:right="630"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right="630"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b/>
          <w:color w:val="auto"/>
          <w:sz w:val="24"/>
          <w:highlight w:val="none"/>
        </w:rPr>
      </w:pPr>
      <w:r>
        <w:rPr>
          <w:rFonts w:hint="eastAsia" w:ascii="宋体" w:hAnsi="宋体" w:cs="宋体"/>
          <w:b/>
          <w:color w:val="auto"/>
          <w:sz w:val="24"/>
          <w:highlight w:val="none"/>
        </w:rPr>
        <w:t xml:space="preserve">备注：供应商如有授权委托，必须提供该法人授权委托书及法人和代理人的身份证，否则响应无效；</w:t>
      </w:r>
      <w:r/>
    </w:p>
    <w:p>
      <w:pPr>
        <w:pStyle w:val="735"/>
        <w:ind w:firstLine="482"/>
        <w:jc w:val="both"/>
        <w:spacing w:before="0" w:beforeAutospacing="0" w:after="0" w:afterAutospacing="0" w:line="360" w:lineRule="auto"/>
        <w:rPr>
          <w:rFonts w:cs="宋体"/>
          <w:color w:val="auto"/>
          <w:highlight w:val="none"/>
        </w:rPr>
      </w:pPr>
      <w:r>
        <w:rPr>
          <w:rFonts w:hint="eastAsia" w:cs="宋体"/>
          <w:b/>
          <w:color w:val="auto"/>
          <w:highlight w:val="none"/>
        </w:rPr>
        <w:t xml:space="preserve">供应商无授权委托的情况下，必须提供法定代表人身份证，否则响应无效。</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2、投标函</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投标函</w:t>
      </w:r>
      <w:r/>
    </w:p>
    <w:p>
      <w:pPr>
        <w:pStyle w:val="964"/>
        <w:ind w:right="-290"/>
        <w:spacing w:line="400" w:lineRule="exact"/>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号招标文件，经仔细阅读和研究，我们决定参加投标。</w:t>
      </w:r>
      <w:r/>
    </w:p>
    <w:p>
      <w:pPr>
        <w:pStyle w:val="961"/>
        <w:ind w:left="120" w:firstLine="360"/>
        <w:spacing w:line="360" w:lineRule="auto"/>
        <w:rPr>
          <w:rFonts w:hAnsi="宋体" w:cs="宋体"/>
          <w:color w:val="auto"/>
          <w:sz w:val="24"/>
          <w:highlight w:val="none"/>
        </w:rPr>
      </w:pPr>
      <w:r>
        <w:rPr>
          <w:rFonts w:hAnsi="宋体" w:cs="宋体"/>
          <w:color w:val="auto"/>
          <w:sz w:val="24"/>
          <w:highlight w:val="none"/>
        </w:rPr>
        <w:t xml:space="preserve">1</w:t>
      </w:r>
      <w:r>
        <w:rPr>
          <w:rFonts w:hint="eastAsia" w:hAnsi="宋体" w:cs="宋体"/>
          <w:color w:val="auto"/>
          <w:sz w:val="24"/>
          <w:highlight w:val="none"/>
        </w:rPr>
        <w:t xml:space="preserve">、我们愿意按照招标文件的一切要求，提供以上项目的所有内容，我们的投标价格包括完成该项工作（含巡视、维护、应急抢险等）所列的服务管理内容及技术措施费、安全文明措施费、风险费、材料、机械设备、安装、维护作业范围内的建筑垃圾等杂物的清运费、废料处置费、人工（包括人员劳务费、加班费、福利费、社保等）、作业人员人身意外保险以及在从事该劳动过程中发生的其它费用（含法律法规应缴的费用）、公众责任保险、劳保、维护、代理服务费、利润、税金、政策性文件规定及合同包含的所有风险、责任等各项所有费用，并在服务期限内不受政策因素影响</w:t>
      </w:r>
      <w:r>
        <w:rPr>
          <w:rFonts w:hAnsi="宋体" w:cs="宋体"/>
          <w:color w:val="auto"/>
          <w:sz w:val="24"/>
          <w:highlight w:val="none"/>
        </w:rPr>
        <w:t xml:space="preserve">。</w:t>
      </w:r>
      <w:r/>
    </w:p>
    <w:p>
      <w:pPr>
        <w:pStyle w:val="961"/>
        <w:ind w:left="120" w:firstLine="360"/>
        <w:spacing w:line="360" w:lineRule="auto"/>
        <w:rPr>
          <w:rFonts w:hAnsi="宋体" w:cs="宋体"/>
          <w:color w:val="auto"/>
          <w:sz w:val="24"/>
          <w:highlight w:val="none"/>
        </w:rPr>
      </w:pPr>
      <w:r>
        <w:rPr>
          <w:rFonts w:hAnsi="宋体" w:cs="宋体"/>
          <w:color w:val="auto"/>
          <w:sz w:val="24"/>
          <w:highlight w:val="none"/>
        </w:rPr>
        <w:t xml:space="preserve"> </w:t>
      </w:r>
      <w:r>
        <w:rPr>
          <w:rFonts w:hint="eastAsia" w:hAnsi="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961"/>
        <w:ind w:left="120" w:firstLine="360"/>
        <w:spacing w:line="360" w:lineRule="auto"/>
        <w:rPr>
          <w:rFonts w:hAnsi="宋体" w:cs="宋体"/>
          <w:color w:val="auto"/>
          <w:sz w:val="24"/>
          <w:highlight w:val="none"/>
        </w:rPr>
      </w:pPr>
      <w:r>
        <w:rPr>
          <w:rFonts w:hint="eastAsia" w:hAnsi="宋体" w:cs="宋体"/>
          <w:color w:val="auto"/>
          <w:sz w:val="24"/>
          <w:highlight w:val="none"/>
        </w:rPr>
        <w:t xml:space="preserve">3、我们同意按招标文件规定，本投标书的有效期限为自提交投标文件截止日起</w:t>
      </w:r>
      <w:r/>
    </w:p>
    <w:p>
      <w:pPr>
        <w:pStyle w:val="961"/>
        <w:ind w:left="120" w:firstLine="360"/>
        <w:spacing w:line="360" w:lineRule="auto"/>
        <w:rPr>
          <w:rFonts w:hAnsi="宋体" w:cs="宋体"/>
          <w:color w:val="auto"/>
          <w:sz w:val="24"/>
          <w:highlight w:val="none"/>
        </w:rPr>
      </w:pPr>
      <w:r>
        <w:rPr>
          <w:rFonts w:hint="eastAsia" w:hAnsi="宋体" w:cs="宋体"/>
          <w:color w:val="auto"/>
          <w:sz w:val="24"/>
          <w:highlight w:val="none"/>
          <w:u w:val="single"/>
        </w:rPr>
        <w:t xml:space="preserve">     </w:t>
      </w:r>
      <w:r>
        <w:rPr>
          <w:rFonts w:hint="eastAsia" w:hAnsi="宋体" w:cs="宋体"/>
          <w:color w:val="auto"/>
          <w:sz w:val="24"/>
          <w:highlight w:val="none"/>
        </w:rPr>
        <w:t xml:space="preserve">天。</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4、我们愿意提供招标方在招标文件中要求的所有资料。</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5、我们认为你们有权决定中标者，还认为你们有权接受或拒绝所有的投标者。</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6、我们承诺人员上岗按国家规定执行。</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7、我们愿意遵守招标文件中所列的收费标准。</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9、如果我们中标，我们愿意在签订合同时按招标文件规定的标准向招标代理机构支付中标服务费；</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所有有关标书的函电，请按下列地址联系：</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单位：</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联系人：</w:t>
      </w:r>
      <w:r/>
    </w:p>
    <w:p>
      <w:pPr>
        <w:pStyle w:val="964"/>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地址：</w:t>
      </w:r>
      <w:r/>
    </w:p>
    <w:p>
      <w:pPr>
        <w:pStyle w:val="964"/>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邮政编码：</w:t>
      </w:r>
      <w:r/>
    </w:p>
    <w:p>
      <w:pPr>
        <w:pStyle w:val="964"/>
        <w:ind w:firstLine="480"/>
        <w:jc w:val="left"/>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联系电话：</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传真：        邮箱：                                     </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投标人：（加盖CA电子公章）</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法定代表人或被授权人：（签字或盖章）</w:t>
      </w:r>
      <w:r/>
    </w:p>
    <w:p>
      <w:pPr>
        <w:pStyle w:val="961"/>
        <w:ind w:firstLine="480"/>
        <w:spacing w:line="360" w:lineRule="auto"/>
        <w:rPr>
          <w:rFonts w:hAnsi="宋体" w:cs="宋体"/>
          <w:color w:val="auto"/>
          <w:sz w:val="24"/>
          <w:highlight w:val="none"/>
        </w:rPr>
      </w:pPr>
      <w:r>
        <w:rPr>
          <w:rFonts w:hint="eastAsia" w:hAnsi="宋体" w:cs="宋体"/>
          <w:color w:val="auto"/>
          <w:sz w:val="24"/>
          <w:highlight w:val="none"/>
        </w:rPr>
        <w:t xml:space="preserve">日期：        年     月     日</w:t>
      </w:r>
      <w:r/>
    </w:p>
    <w:p>
      <w:pPr>
        <w:pStyle w:val="961"/>
        <w:ind w:firstLine="480"/>
        <w:spacing w:line="360" w:lineRule="auto"/>
        <w:rPr>
          <w:rFonts w:hAnsi="宋体" w:cs="宋体"/>
          <w:color w:val="auto"/>
          <w:sz w:val="24"/>
          <w:highlight w:val="none"/>
        </w:rPr>
      </w:pPr>
      <w:r>
        <w:rPr>
          <w:rFonts w:hAnsi="宋体" w:cs="宋体"/>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3、开标一览表：</w:t>
      </w:r>
      <w:r>
        <w:rPr>
          <w:rFonts w:hint="eastAsia" w:ascii="宋体" w:hAnsi="宋体" w:cs="宋体"/>
          <w:b/>
          <w:color w:val="auto"/>
          <w:sz w:val="24"/>
          <w:highlight w:val="none"/>
        </w:rPr>
        <w:t xml:space="preserve">按投标系统内统一格式</w:t>
      </w:r>
      <w:r/>
    </w:p>
    <w:p>
      <w:pPr>
        <w:pStyle w:val="717"/>
        <w:spacing w:line="360" w:lineRule="auto"/>
        <w:rPr>
          <w:rFonts w:hAnsi="宋体" w:cs="宋体"/>
          <w:color w:val="auto"/>
          <w:sz w:val="24"/>
          <w:highlight w:val="none"/>
        </w:rPr>
      </w:pPr>
      <w:r>
        <w:rPr>
          <w:rFonts w:hAnsi="宋体" w:cs="宋体"/>
          <w:color w:val="auto"/>
          <w:sz w:val="24"/>
          <w:highlight w:val="none"/>
        </w:rPr>
      </w:r>
      <w:r/>
    </w:p>
    <w:p>
      <w:pPr>
        <w:pStyle w:val="717"/>
        <w:rPr>
          <w:rFonts w:hAnsi="宋体" w:cs="宋体"/>
          <w:color w:val="auto"/>
          <w:sz w:val="24"/>
          <w:highlight w:val="none"/>
        </w:rPr>
      </w:pPr>
      <w:r>
        <w:rPr>
          <w:rFonts w:hint="eastAsia" w:hAnsi="宋体" w:cs="宋体"/>
          <w:bCs/>
          <w:color w:val="auto"/>
          <w:sz w:val="24"/>
          <w:highlight w:val="none"/>
        </w:rPr>
        <w:t xml:space="preserve">4、公开分项报价</w:t>
      </w:r>
      <w:r/>
    </w:p>
    <w:p>
      <w:pPr>
        <w:rPr>
          <w:rFonts w:ascii="宋体" w:hAnsi="宋体" w:cs="宋体"/>
          <w:color w:val="auto"/>
          <w:sz w:val="24"/>
          <w:highlight w:val="none"/>
        </w:rPr>
      </w:pPr>
      <w:r>
        <w:rPr>
          <w:rFonts w:ascii="宋体" w:hAnsi="宋体" w:cs="宋体"/>
          <w:color w:val="auto"/>
          <w:sz w:val="24"/>
          <w:highlight w:val="none"/>
        </w:rPr>
      </w:r>
      <w:r/>
    </w:p>
    <w:p>
      <w:pPr>
        <w:pStyle w:val="723"/>
        <w:ind w:left="0" w:firstLine="0"/>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cs="宋体"/>
          <w:color w:val="auto"/>
          <w:sz w:val="24"/>
          <w:highlight w:val="none"/>
        </w:rPr>
        <w:outlineLvl w:val="1"/>
      </w:pPr>
      <w:r>
        <w:rPr>
          <w:rFonts w:ascii="宋体" w:hAnsi="宋体" w:cs="宋体"/>
          <w:b/>
          <w:bCs/>
          <w:color w:val="auto"/>
          <w:sz w:val="24"/>
          <w:highlight w:val="none"/>
        </w:rPr>
      </w:r>
      <w:r>
        <w:rPr>
          <w:rFonts w:hint="eastAsia" w:hAnsi="宋体" w:cs="宋体"/>
          <w:bCs/>
          <w:color w:val="auto"/>
          <w:sz w:val="24"/>
          <w:highlight w:val="none"/>
        </w:rPr>
        <w:t xml:space="preserve">公开分项报价</w:t>
      </w:r>
      <w:r/>
      <w:r>
        <w:rPr>
          <w:rFonts w:ascii="宋体" w:hAnsi="宋体" w:cs="宋体"/>
          <w:b/>
          <w:bCs/>
          <w:color w:val="auto"/>
          <w:sz w:val="24"/>
          <w:highlight w:val="none"/>
        </w:rPr>
      </w:r>
      <w:r/>
    </w:p>
    <w:p>
      <w:pPr>
        <w:pStyle w:val="723"/>
        <w:ind w:left="0" w:firstLine="0"/>
        <w:jc w:val="center"/>
        <w:rPr>
          <w:rFonts w:ascii="宋体" w:hAnsi="宋体" w:eastAsia="宋体" w:cs="宋体"/>
          <w:color w:val="auto"/>
          <w:sz w:val="24"/>
          <w:highlight w:val="none"/>
        </w:rPr>
        <w:outlineLvl w:val="1"/>
      </w:pPr>
      <w:r>
        <w:rPr>
          <w:rFonts w:ascii="宋体" w:hAnsi="宋体" w:eastAsia="宋体" w:cs="宋体"/>
          <w:color w:val="auto"/>
          <w:sz w:val="24"/>
          <w:highlight w:val="none"/>
        </w:rPr>
      </w:r>
      <w:r/>
    </w:p>
    <w:tbl>
      <w:tblPr>
        <w:tblStyle w:val="70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8"/>
        <w:gridCol w:w="822"/>
        <w:gridCol w:w="4329"/>
        <w:gridCol w:w="619"/>
        <w:gridCol w:w="641"/>
        <w:gridCol w:w="1004"/>
        <w:gridCol w:w="1369"/>
      </w:tblGrid>
      <w:tr>
        <w:trPr>
          <w:trHeight w:val="468"/>
        </w:trPr>
        <w:tc>
          <w:tcPr>
            <w:tcMar>
              <w:left w:w="15" w:type="dxa"/>
              <w:top w:w="15" w:type="dxa"/>
              <w:right w:w="15" w:type="dxa"/>
            </w:tcMar>
            <w:tcW w:w="618"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Mar>
              <w:left w:w="15" w:type="dxa"/>
              <w:top w:w="15" w:type="dxa"/>
              <w:right w:w="15" w:type="dxa"/>
            </w:tcMar>
            <w:tcW w:w="822"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Mar>
              <w:left w:w="15" w:type="dxa"/>
              <w:top w:w="15" w:type="dxa"/>
              <w:right w:w="15" w:type="dxa"/>
            </w:tcMar>
            <w:tcW w:w="4329"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项目描述</w:t>
            </w:r>
            <w:r/>
          </w:p>
        </w:tc>
        <w:tc>
          <w:tcPr>
            <w:tcMar>
              <w:left w:w="15" w:type="dxa"/>
              <w:top w:w="15" w:type="dxa"/>
              <w:right w:w="15" w:type="dxa"/>
            </w:tcMar>
            <w:tcW w:w="619"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计量</w:t>
            </w:r>
            <w:r>
              <w:rPr>
                <w:rFonts w:hint="eastAsia" w:ascii="宋体" w:hAnsi="宋体" w:cs="宋体"/>
                <w:color w:val="auto"/>
                <w:sz w:val="24"/>
                <w:highlight w:val="none"/>
              </w:rPr>
              <w:br/>
            </w:r>
            <w:r>
              <w:rPr>
                <w:rFonts w:hint="eastAsia" w:ascii="宋体" w:hAnsi="宋体" w:cs="宋体"/>
                <w:color w:val="auto"/>
                <w:sz w:val="24"/>
                <w:highlight w:val="none"/>
              </w:rPr>
              <w:t xml:space="preserve">单位</w:t>
            </w:r>
            <w:r/>
          </w:p>
        </w:tc>
        <w:tc>
          <w:tcPr>
            <w:tcMar>
              <w:left w:w="15" w:type="dxa"/>
              <w:top w:w="15" w:type="dxa"/>
              <w:right w:w="15" w:type="dxa"/>
            </w:tcMar>
            <w:tcW w:w="641"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工作量</w:t>
            </w:r>
            <w:r/>
          </w:p>
        </w:tc>
        <w:tc>
          <w:tcPr>
            <w:tcMar>
              <w:left w:w="15" w:type="dxa"/>
              <w:top w:w="15" w:type="dxa"/>
              <w:right w:w="15" w:type="dxa"/>
            </w:tcMar>
            <w:tcW w:w="1004"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单价报价（元）</w:t>
            </w:r>
            <w:r/>
          </w:p>
        </w:tc>
        <w:tc>
          <w:tcPr>
            <w:tcMar>
              <w:left w:w="15" w:type="dxa"/>
              <w:top w:w="15" w:type="dxa"/>
              <w:right w:w="15" w:type="dxa"/>
            </w:tcMar>
            <w:tcW w:w="1369"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合价报价（元）</w:t>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第一部分 巡视</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0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日常巡视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1、巡视里程约101公里</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2、工作量计算规则：以月为单位，费用充分考虑，包干使用</w:t>
            </w:r>
            <w:r>
              <w:rPr>
                <w:rFonts w:hint="eastAsia" w:ascii="宋体" w:hAnsi="宋体" w:cs="宋体"/>
                <w:color w:val="auto"/>
                <w:sz w:val="24"/>
                <w:highlight w:val="none"/>
              </w:rPr>
              <w:br/>
            </w:r>
            <w:r>
              <w:rPr>
                <w:rFonts w:hint="eastAsia" w:ascii="宋体" w:hAnsi="宋体" w:cs="宋体"/>
                <w:color w:val="auto"/>
                <w:sz w:val="24"/>
                <w:highlight w:val="none"/>
              </w:rPr>
              <w:t xml:space="preserve">3、巡视周期按招标文件要求，满足招标人考核要求</w:t>
            </w:r>
            <w:r/>
          </w:p>
          <w:p>
            <w:pPr>
              <w:pStyle w:val="704"/>
              <w:jc w:val="center"/>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、需配合采购人进行相关系统的录入工作</w:t>
            </w:r>
            <w:r/>
          </w:p>
          <w:p>
            <w:pPr>
              <w:pStyle w:val="704"/>
              <w:jc w:val="center"/>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、其他说明：设施量如有增减，该价格不调整</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第二部分 零星维护</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伸缩缝混凝土维修</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1.工作内容:拆除损坏部位混凝土，浇筑C40钢纤维砼等,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2.工作量计算规则:按体积以“立方米”计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m3</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钢扶手拆除</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1、工作内容:拆除现状扶手、底座,清理现场，拆除料外运弃置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桥梁GQF-C-120型钢伸缩缝重建</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1、工作内容:锯缝，拆除原有伸缩缝，废料弃置，钢筋制作、安装，更换新购伸缩缝，型钢的制作、安装，嵌橡胶条，浇筑C40钢纤维砼等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桥梁GQF-C-160型钢伸缩缝重建</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1、工作内容:锯缝，拆除原有伸缩缝，废料弃置，钢筋制作、安装，更换新购伸缩缝，型钢的制作、安装，嵌橡胶条，浇筑C40钢纤维砼等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桥梁GQF-C-240型钢伸缩缝重建</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1、工作内容:锯缝，拆除原有伸缩缝，废料弃置，钢筋制作、安装，更换新购伸缩缝，型钢的制作、安装，嵌橡胶条，浇筑C40钢纤维砼等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梳齿板固定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1、工作内容：拆除原伸缩缝松散、损坏混凝土，调整伸缩缝构件、钢筋加固、重新浇筑混凝土</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梳齿板更换安装</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1.工作内容:混凝土维修，安装梳齿板，种植锚栓，立模布设钢筋网，安装钢板，混凝土过渡带维修，橡胶止水带的更换，环氧砂浆浇筑。</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7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2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落水管更换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1、维护方式：落水管安装，含管箍，弯头、三通等管件等，不含登高费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落水管维修</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1、维护方式：原材料能继续使用，仅重新固定PVC排水管及弯头，漏斗等，不含登高费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泄水井疏通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1、维护方式：进水口清理，不含登高费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2、工作量计算规则：按数量以“座”计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座</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管道卡箍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1、维护方式：拆除原损坏卡箍，更换新管代卡箍，不含登高费（仅单独更换卡箍）</w:t>
            </w:r>
            <w:r>
              <w:rPr>
                <w:rFonts w:hint="eastAsia" w:ascii="宋体" w:hAnsi="宋体" w:cs="宋体"/>
                <w:color w:val="auto"/>
                <w:sz w:val="24"/>
                <w:highlight w:val="none"/>
              </w:rPr>
              <w:br/>
            </w:r>
            <w:r>
              <w:rPr>
                <w:rFonts w:hint="eastAsia" w:ascii="宋体" w:hAnsi="宋体" w:cs="宋体"/>
                <w:color w:val="auto"/>
                <w:sz w:val="24"/>
                <w:highlight w:val="none"/>
              </w:rPr>
              <w:t xml:space="preserve">2、卡箍规格、材质：不锈钢卡箍，管径DN110</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管道三通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1、维护方式：拆除原损坏管件，更换新管道三通，不含登高费（仅单独更换管件）</w:t>
            </w:r>
            <w:r>
              <w:rPr>
                <w:rFonts w:hint="eastAsia" w:ascii="宋体" w:hAnsi="宋体" w:cs="宋体"/>
                <w:color w:val="auto"/>
                <w:sz w:val="24"/>
                <w:highlight w:val="none"/>
              </w:rPr>
              <w:br/>
            </w:r>
            <w:r>
              <w:rPr>
                <w:rFonts w:hint="eastAsia" w:ascii="宋体" w:hAnsi="宋体" w:cs="宋体"/>
                <w:color w:val="auto"/>
                <w:sz w:val="24"/>
                <w:highlight w:val="none"/>
              </w:rPr>
              <w:t xml:space="preserve">2、卡箍规格、材质：管径DN110三通</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调换进水口盖板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1、工作内容：调换进水口盖板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伸缩缝挡板(内挡板）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1、材质：304不锈钢,1100*400*2不锈钢板，不锈钢螺栓固定</w:t>
            </w:r>
            <w:r>
              <w:rPr>
                <w:rFonts w:hint="eastAsia" w:ascii="宋体" w:hAnsi="宋体" w:cs="宋体"/>
                <w:color w:val="auto"/>
                <w:sz w:val="24"/>
                <w:highlight w:val="none"/>
              </w:rPr>
              <w:br/>
            </w:r>
            <w:r>
              <w:rPr>
                <w:rFonts w:hint="eastAsia" w:ascii="宋体" w:hAnsi="宋体" w:cs="宋体"/>
                <w:color w:val="auto"/>
                <w:sz w:val="24"/>
                <w:highlight w:val="none"/>
              </w:rPr>
              <w:t xml:space="preserve">2、工作内容：拆除原挡板，清理现场，安装新购挡板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伸缩缝挡板(外挡板）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1、材质：304不锈钢,1500*400*2不锈钢板，不锈钢螺栓固定</w:t>
            </w:r>
            <w:r>
              <w:rPr>
                <w:rFonts w:hint="eastAsia" w:ascii="宋体" w:hAnsi="宋体" w:cs="宋体"/>
                <w:color w:val="auto"/>
                <w:sz w:val="24"/>
                <w:highlight w:val="none"/>
              </w:rPr>
              <w:br/>
            </w:r>
            <w:r>
              <w:rPr>
                <w:rFonts w:hint="eastAsia" w:ascii="宋体" w:hAnsi="宋体" w:cs="宋体"/>
                <w:color w:val="auto"/>
                <w:sz w:val="24"/>
                <w:highlight w:val="none"/>
              </w:rPr>
              <w:t xml:space="preserve">2、工作内容：拆除原挡板，清理现场，安装新购挡板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盆式支座防腐</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1、工艺：支座除锈，底漆一遍，氟碳面漆两遍</w:t>
            </w:r>
            <w:r>
              <w:rPr>
                <w:rFonts w:hint="eastAsia" w:ascii="宋体" w:hAnsi="宋体" w:cs="宋体"/>
                <w:color w:val="auto"/>
                <w:sz w:val="24"/>
                <w:highlight w:val="none"/>
              </w:rPr>
              <w:br/>
            </w:r>
            <w:r>
              <w:rPr>
                <w:rFonts w:hint="eastAsia" w:ascii="宋体" w:hAnsi="宋体" w:cs="宋体"/>
                <w:color w:val="auto"/>
                <w:sz w:val="24"/>
                <w:highlight w:val="none"/>
              </w:rPr>
              <w:t xml:space="preserve">2、相关说明：登高费另计</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＜0.2mm裂缝封闭</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1、工作内容:沿缝打磨、封闭裂缝，登高费另计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≥0.2mm裂缝注胶</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1、工作内容:沿缝打磨、安置胶嘴、封闭裂缝、灌注裂缝胶等，不含登高费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声屏障亚克力板更换（库存料）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1、工作内容:拆除破旧亚克力板，更换安装库存10mm厚亚克力板，含拆除、运输、拆除料外运弃置，采用库存料，含出库，运输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18"/>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1、工作内容:拆除破吸音板，更换库存吸音板，含拆除、运输、拆除料外运弃置；采用库存料，含出库、运输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2、吸音板：面板铝板1.2mm，背板镀锌板1.2mm</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1、工作内容:拆除声屏障钢立柱，重新安装钢立柱，含拆除、运输、拆除料外运弃置，采用库存料，含出库、运输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2、立柱规格：H=3000mm立柱，库存料</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1、工作内容:拆除声屏障钢立柱，重新安装钢立柱，含拆除、运输、拆除料外运弃置，采用库存料，含出库、运输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2、立柱规格：H=3500mm立柱，库存料</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292"/>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1、工作内容:拆除破吸音板，更换吸音板，含拆除、运输弃置拆除料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2、声屏障材质：吸音板：面板采用优质铝合金穿孔板，厚度1.2mm，开孔率≥25％，开孔样式与高架现有款式保持一致或由采购人确定。背板及龙骨均采用优质镀锌钢板，板厚1.2mm, 龙骨1.5mm，内部采用离心法生产的48 kg/m3玻璃棉板外裹无碱憎水布。表面氟碳喷涂防腐处理（氟碳喷涂为烘烤型），穿孔面板双面喷涂，背板单面喷涂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声屏障亚克力透明屏更换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1、工作内容:拆除亚克力透明屏，更换亚克力透明屏，含拆除、运输弃置拆除料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2、声屏障材质：透明隔声屏体为厚度10mm亚克力板、外包厚铝合金边框</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04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1、工作内容:拆除钢立柱，更换钢立柱，含拆除、运输弃置拆除料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H型钢，立柱高3000mm,Q235B钢立柱；桥梁伸缩缝处两端则采用相邻两侧钢立柱翼板加宽，通过预埋件与基础（防撞墙）连接，钢立柱整体构件防锈保护须采用热镀锌及氟炭喷涂处理（氟碳喷涂为烘烤型）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04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1、工作内容:拆除钢立柱，更换钢立柱，含拆除、运输弃置拆除料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H型钢，立柱高3500mm,Q235B钢立柱；桥梁伸缩缝处两端则采用相邻两侧钢立柱翼板加宽，通过预埋件与基础（防撞墙）连接，钢立柱整体构件防锈保护须采用热镀锌及氟炭喷涂处理（氟碳喷涂为烘烤型）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声屏障钢立柱底座更换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1、工作内容:拆除钢立柱底座，拆除物外运弃置，重新安装立柱底座，含植筋、底座底板、锚筋、锚栓等铁件</w:t>
            </w:r>
            <w:r>
              <w:rPr>
                <w:rFonts w:hint="eastAsia" w:ascii="宋体" w:hAnsi="宋体" w:cs="宋体"/>
                <w:color w:val="auto"/>
                <w:sz w:val="24"/>
                <w:highlight w:val="none"/>
              </w:rPr>
              <w:br/>
            </w:r>
            <w:r>
              <w:rPr>
                <w:rFonts w:hint="eastAsia" w:ascii="宋体" w:hAnsi="宋体" w:cs="宋体"/>
                <w:color w:val="auto"/>
                <w:sz w:val="24"/>
                <w:highlight w:val="none"/>
              </w:rPr>
              <w:t xml:space="preserve">2、2、材料、规格：植筋M22螺杆制作地脚螺栓，20mm厚底板、8mm厚限位钢板，铁件表面氟碳喷涂；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1、工作内容:拆除或调整罩板，安装固定下罩板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声屏障配件固定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1、工作内容:调整固定立柱及声屏障屏体，防止松动</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1、工作内容:调整吸音板，防止松动</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1、工作内容：波形板立柱拆除损坏钢管立柱，更换新钢管立柱（114钢管）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2、工作量计算规则：按数量以“根”计，钢管高综合考虑</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波形护栏端头更换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1、工作内容：（三波）波形板端头板补缺或拆除损坏端头，更换新端头</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2、工作量计算规则：按更换数量以“个”计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1、工作内容:拆除破旧波形板，更换新护栏波形板（含紧固件、仿震块等），新波形板为三波板，含拆除、运输、拆除料外运弃置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波形护栏整形、调直</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1、工作内容:调整现状波形护栏，纠偏，调直，整形</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波形护栏油漆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1、工作内容:清扫、磨砂纸、除锈擦洗，油漆</w:t>
            </w:r>
            <w:r>
              <w:rPr>
                <w:rFonts w:hint="eastAsia" w:ascii="宋体" w:hAnsi="宋体" w:cs="宋体"/>
                <w:color w:val="auto"/>
                <w:sz w:val="24"/>
                <w:highlight w:val="none"/>
              </w:rPr>
              <w:br/>
            </w:r>
            <w:r>
              <w:rPr>
                <w:rFonts w:hint="eastAsia" w:ascii="宋体" w:hAnsi="宋体" w:cs="宋体"/>
                <w:color w:val="auto"/>
                <w:sz w:val="24"/>
                <w:highlight w:val="none"/>
              </w:rPr>
              <w:t xml:space="preserve">2、材质：水性陶瓷油漆2层，波形护栏涂装</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2.工作量计算规则:按涂装护栏长度以米计量</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真石漆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1、材料品种: 真石漆</w:t>
            </w:r>
            <w:r>
              <w:rPr>
                <w:rFonts w:hint="eastAsia" w:ascii="宋体" w:hAnsi="宋体" w:cs="宋体"/>
                <w:color w:val="auto"/>
                <w:sz w:val="24"/>
                <w:highlight w:val="none"/>
              </w:rPr>
              <w:br/>
            </w:r>
            <w:r>
              <w:rPr>
                <w:rFonts w:hint="eastAsia" w:ascii="宋体" w:hAnsi="宋体" w:cs="宋体"/>
                <w:color w:val="auto"/>
                <w:sz w:val="24"/>
                <w:highlight w:val="none"/>
              </w:rPr>
              <w:t xml:space="preserve">2、工艺：基层修理、刷界面剂、刮批防水柔性腻子二遍、外墙底漆一遍、真石漆二遍、釉面清漆一遍</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环氧富锌漆涂料（两层）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1、工作内容:清除原漆，去污、除锈、磨光、分层刷漆</w:t>
            </w:r>
            <w:r>
              <w:rPr>
                <w:rFonts w:hint="eastAsia" w:ascii="宋体" w:hAnsi="宋体" w:cs="宋体"/>
                <w:color w:val="auto"/>
                <w:sz w:val="24"/>
                <w:highlight w:val="none"/>
              </w:rPr>
              <w:br/>
            </w:r>
            <w:r>
              <w:rPr>
                <w:rFonts w:hint="eastAsia" w:ascii="宋体" w:hAnsi="宋体" w:cs="宋体"/>
                <w:color w:val="auto"/>
                <w:sz w:val="24"/>
                <w:highlight w:val="none"/>
              </w:rPr>
              <w:t xml:space="preserve">2、材质：环氧富锌漆两遍</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环氧富锌漆涂料（一层）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1、工作内容:清除原漆，去污、除锈、磨光、分层刷漆</w:t>
            </w:r>
            <w:r>
              <w:rPr>
                <w:rFonts w:hint="eastAsia" w:ascii="宋体" w:hAnsi="宋体" w:cs="宋体"/>
                <w:color w:val="auto"/>
                <w:sz w:val="24"/>
                <w:highlight w:val="none"/>
              </w:rPr>
              <w:br/>
            </w:r>
            <w:r>
              <w:rPr>
                <w:rFonts w:hint="eastAsia" w:ascii="宋体" w:hAnsi="宋体" w:cs="宋体"/>
                <w:color w:val="auto"/>
                <w:sz w:val="24"/>
                <w:highlight w:val="none"/>
              </w:rPr>
              <w:t xml:space="preserve">2、材质：环氧富锌漆一遍</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聚氨酯涂料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1、工作内容:清除原漆，去污、除锈、磨光、分层刷漆</w:t>
            </w:r>
            <w:r>
              <w:rPr>
                <w:rFonts w:hint="eastAsia" w:ascii="宋体" w:hAnsi="宋体" w:cs="宋体"/>
                <w:color w:val="auto"/>
                <w:sz w:val="24"/>
                <w:highlight w:val="none"/>
              </w:rPr>
              <w:br/>
            </w:r>
            <w:r>
              <w:rPr>
                <w:rFonts w:hint="eastAsia" w:ascii="宋体" w:hAnsi="宋体" w:cs="宋体"/>
                <w:color w:val="auto"/>
                <w:sz w:val="24"/>
                <w:highlight w:val="none"/>
              </w:rPr>
              <w:t xml:space="preserve">2、材质：聚氨酯一底两面</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石材墙面修复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1、工作内容:清理墙面、石材底面，重新贴石材墙面</w:t>
            </w:r>
            <w:r>
              <w:rPr>
                <w:rFonts w:hint="eastAsia" w:ascii="宋体" w:hAnsi="宋体" w:cs="宋体"/>
                <w:color w:val="auto"/>
                <w:sz w:val="24"/>
                <w:highlight w:val="none"/>
              </w:rPr>
              <w:br/>
            </w:r>
            <w:r>
              <w:rPr>
                <w:rFonts w:hint="eastAsia" w:ascii="宋体" w:hAnsi="宋体" w:cs="宋体"/>
                <w:color w:val="auto"/>
                <w:sz w:val="24"/>
                <w:highlight w:val="none"/>
              </w:rPr>
              <w:t xml:space="preserve">2、材质：花岗岩石板利旧，不新购</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石材贴面修复（利旧）</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1、工作内容:清理墙面，重新贴石材墙面</w:t>
            </w:r>
            <w:r>
              <w:rPr>
                <w:rFonts w:hint="eastAsia" w:ascii="宋体" w:hAnsi="宋体" w:cs="宋体"/>
                <w:color w:val="auto"/>
                <w:sz w:val="24"/>
                <w:highlight w:val="none"/>
              </w:rPr>
              <w:br/>
            </w:r>
            <w:r>
              <w:rPr>
                <w:rFonts w:hint="eastAsia" w:ascii="宋体" w:hAnsi="宋体" w:cs="宋体"/>
                <w:color w:val="auto"/>
                <w:sz w:val="24"/>
                <w:highlight w:val="none"/>
              </w:rPr>
              <w:t xml:space="preserve">2、材质：新购4cm花岗岩石板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石材贴面干挂修复（利旧）</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1、工作内容:清理墙面、石材底面，加工固定钢筋，石材加工，重新挂贴石板</w:t>
            </w:r>
            <w:r>
              <w:rPr>
                <w:rFonts w:hint="eastAsia" w:ascii="宋体" w:hAnsi="宋体" w:cs="宋体"/>
                <w:color w:val="auto"/>
                <w:sz w:val="24"/>
                <w:highlight w:val="none"/>
              </w:rPr>
              <w:br/>
            </w:r>
            <w:r>
              <w:rPr>
                <w:rFonts w:hint="eastAsia" w:ascii="宋体" w:hAnsi="宋体" w:cs="宋体"/>
                <w:color w:val="auto"/>
                <w:sz w:val="24"/>
                <w:highlight w:val="none"/>
              </w:rPr>
              <w:t xml:space="preserve">2、材质：花岗岩石板利旧，不新购</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石材贴面干挂修复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1、工作内容:清理墙面、石材底面，加工固定钢筋，石材加工，重新挂贴石板</w:t>
            </w:r>
            <w:r>
              <w:rPr>
                <w:rFonts w:hint="eastAsia" w:ascii="宋体" w:hAnsi="宋体" w:cs="宋体"/>
                <w:color w:val="auto"/>
                <w:sz w:val="24"/>
                <w:highlight w:val="none"/>
              </w:rPr>
              <w:br/>
            </w:r>
            <w:r>
              <w:rPr>
                <w:rFonts w:hint="eastAsia" w:ascii="宋体" w:hAnsi="宋体" w:cs="宋体"/>
                <w:color w:val="auto"/>
                <w:sz w:val="24"/>
                <w:highlight w:val="none"/>
              </w:rPr>
              <w:t xml:space="preserve">2、材质：新购4cm花岗岩石板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防抛网更换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1、工作内容:拆除原有破损网片，整体更换网片，孔径&lt;50mm，高度3.5m</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防抛网新增</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1、工作内容:固定铁件安装，整体安装防抛网，孔径&lt;50mm，高度3.5m，配套立柱，与现场保持一致</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伸缩缝日常养护清理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1、工作内容：桥梁原有伸缩缝日常养护清理，清理满足养护要求，废料弃置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防撞墙清理维护</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1、工作内容：使用水枪、汤布、笤帚等工具，清洗防撞墙</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7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防眩板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1、工作内容:拆除原损坏防眩板及支架，安装防眩板及支架</w:t>
            </w:r>
            <w:r>
              <w:rPr>
                <w:rFonts w:hint="eastAsia" w:ascii="宋体" w:hAnsi="宋体" w:cs="宋体"/>
                <w:color w:val="auto"/>
                <w:sz w:val="24"/>
                <w:highlight w:val="none"/>
              </w:rPr>
              <w:br/>
            </w:r>
            <w:r>
              <w:rPr>
                <w:rFonts w:hint="eastAsia" w:ascii="宋体" w:hAnsi="宋体" w:cs="宋体"/>
                <w:color w:val="auto"/>
                <w:sz w:val="24"/>
                <w:highlight w:val="none"/>
              </w:rPr>
              <w:t xml:space="preserve">2、规格、型号：290*50*2mm镀锌防眩板，折弯成型；200*150*4mm底板钢板，钻四孔；膨胀螺栓安装，迎车面贴Ⅳ反光膜；150*1950*2mm，20mm折边；折边处焊接膨胀螺栓安装。</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零星人工</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1、工作内容：零星人工</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2、工作量计算规则：按工日计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工日</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防撞车</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1、工作内容：防撞车配合维修作业</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冷补沥青</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1、部位：机动车道或慢车道面层较小坑洞</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2、工作量计算规则：按体积以“立方米”计</w:t>
            </w:r>
            <w:r>
              <w:rPr>
                <w:rFonts w:hint="eastAsia" w:ascii="宋体" w:hAnsi="宋体" w:cs="宋体"/>
                <w:color w:val="auto"/>
                <w:sz w:val="24"/>
                <w:highlight w:val="none"/>
              </w:rPr>
              <w:br/>
            </w:r>
            <w:r>
              <w:rPr>
                <w:rFonts w:hint="eastAsia" w:ascii="宋体" w:hAnsi="宋体" w:cs="宋体"/>
                <w:color w:val="auto"/>
                <w:sz w:val="24"/>
                <w:highlight w:val="none"/>
              </w:rPr>
              <w:t xml:space="preserve">3、工作内容：坑洞清理、冷料沥青填筑坑洞、夯实</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m3</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车行道细粒式沥青砼AC-13C修复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3、面层材质：4cm细粒式沥青砼AC-13C，玄武岩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车行道细粒式沥青砼AC-13C修复-厚度调整清单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1、工作量计算规则：按面积以“平方米”计，每0.5cm厚度增减费，对应清单“车行道细粒式沥青砼AC-13C修复”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2、维护方式:车行道细粒式沥青砼AC-13C修复，厚度调整，含拆除料外运弃置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车行道沥青玛蹄脂混合料SMA-13修复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2、维护方式:拆除厚度4cm沥青砼面层，拆除时不扰动未拆除部分，拆除废料外运弃置；重新修复沥青砼路面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3、面层材质：4cm细粒式沥青砼SMA-13，玄武岩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车行道沥青玛蹄脂混合料SMA-13修复-厚度调整清单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1、工作量计算规则：按面积以“平方米”计，每0.5cm厚度增减费对应清单“车行道沥青玛蹄脂混合料SMA-13修复”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2、维护方式:车行道沥青玛蹄脂混合料SMA-13修复，厚度调整，含拆除料外运弃置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车行道细粒式沥青砼修复增加SBS改性剂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2、维护方式:车行道细粒式沥青砼修复，增加SBS改性剂</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车行道细粒式沥青砼增加抗剥落剂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2、维护方式:车行道细粒式沥青砼修复，增加抗剥落剂，添加量（沥青）0.2%~0.4%(质量比）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车行道细粒式沥青砼增加聚酯纤维</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2、维护方式:车行道细粒式沥青砼修复，增加聚酯纤维，添加量（混合料）0.3%~0.4%(质量比）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沥青路面整修粘层油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1、部位：粘层</w:t>
            </w:r>
            <w:r>
              <w:rPr>
                <w:rFonts w:hint="eastAsia" w:ascii="宋体" w:hAnsi="宋体" w:cs="宋体"/>
                <w:color w:val="auto"/>
                <w:sz w:val="24"/>
                <w:highlight w:val="none"/>
              </w:rPr>
              <w:br/>
            </w:r>
            <w:r>
              <w:rPr>
                <w:rFonts w:hint="eastAsia" w:ascii="宋体" w:hAnsi="宋体" w:cs="宋体"/>
                <w:color w:val="auto"/>
                <w:sz w:val="24"/>
                <w:highlight w:val="none"/>
              </w:rPr>
              <w:t xml:space="preserve">2、材料品种：乳化沥青</w:t>
            </w:r>
            <w:r>
              <w:rPr>
                <w:rFonts w:hint="eastAsia" w:ascii="宋体" w:hAnsi="宋体" w:cs="宋体"/>
                <w:color w:val="auto"/>
                <w:sz w:val="24"/>
                <w:highlight w:val="none"/>
              </w:rPr>
              <w:br/>
            </w:r>
            <w:r>
              <w:rPr>
                <w:rFonts w:hint="eastAsia" w:ascii="宋体" w:hAnsi="宋体" w:cs="宋体"/>
                <w:color w:val="auto"/>
                <w:sz w:val="24"/>
                <w:highlight w:val="none"/>
              </w:rPr>
              <w:t xml:space="preserve">3、喷油量：0.8kg/m2</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登高车台班费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1、工作内容：配合登高作业，登高车,提升高度12m以内</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登高车台班费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1、工作内容：配合登高作业，登高车,提升高度12-22m</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登高车台班费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1、工作内容：配合登高作业，登高车,提升高度22-40m</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设施维护手续办理费用</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1、用于因设施维护并按采购人要求进行绿化迁移、管线迁移等产生的费用</w:t>
            </w:r>
            <w:r>
              <w:rPr>
                <w:rFonts w:hint="eastAsia" w:ascii="宋体" w:hAnsi="宋体" w:cs="宋体"/>
                <w:color w:val="auto"/>
                <w:sz w:val="24"/>
                <w:highlight w:val="none"/>
              </w:rPr>
              <w:br/>
            </w: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不可竞争</w:t>
            </w:r>
            <w:r>
              <w:rPr>
                <w:rFonts w:hint="eastAsia" w:ascii="宋体" w:hAnsi="宋体" w:cs="宋体"/>
                <w:color w:val="auto"/>
                <w:sz w:val="24"/>
                <w:highlight w:val="none"/>
              </w:rPr>
              <w:t xml:space="preserve">，按实结算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10000</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10000</w:t>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第三部分 专项维修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粘层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2、材料品种：乳化沥青</w:t>
            </w:r>
            <w:r>
              <w:rPr>
                <w:rFonts w:hint="eastAsia" w:ascii="宋体" w:hAnsi="宋体" w:cs="宋体"/>
                <w:color w:val="auto"/>
                <w:sz w:val="24"/>
                <w:highlight w:val="none"/>
              </w:rPr>
              <w:br/>
            </w:r>
            <w:r>
              <w:rPr>
                <w:rFonts w:hint="eastAsia" w:ascii="宋体" w:hAnsi="宋体" w:cs="宋体"/>
                <w:color w:val="auto"/>
                <w:sz w:val="24"/>
                <w:highlight w:val="none"/>
              </w:rPr>
              <w:t xml:space="preserve">3、喷油量：0.8kg/m2</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车行道中粒式沥青砼修复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2、维护方式：铣刨厚度6cm沥青砼，拆除时不扰动未拆除部分；重新修复沥青砼路面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3、面层材质：6cm中粒式沥青砼AC-20C或SUP-20，石灰岩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车行道中粒式沥青砼修复增加抗车辙剂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1、工作量计算规则：按面积以“平方米”计，对应清单“车行道中粒式沥青砼修复”，厚度6cm，如厚度不一致折算处理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2、维护方式：车行道中粒式沥青砼修复，增加抗车辙剂，添加量0.2~0.4%（质量比）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沥青砼AC-13C修复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3、面层材质：4cm细粒式沥青砼AC-13C，玄武岩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沥青砼AC-13C修复-厚度调整清单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1、工作量计算规则：按面积以“平方米”计，每0.5cm厚度增减费，对应清单“车行道细粒式沥青砼AC-13C修复”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2、维护方式:车行道细粒式沥青砼AC-13C修复，厚度调整，含拆除料外运弃置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90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沥青玛蹄脂碎石SMA-13修复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2、维护方式:拆除厚度4cm沥青砼面层，拆除时不扰动未拆除部分，拆除废料外运弃置；重新修复沥青砼路面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3、面层材质：4cm细粒式沥青砼SMA-13，玄武岩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沥青玛蹄脂混合料SMA-13修复-厚度调整清单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1、工作量计算规则：按面积以“平方米”计，每0.5cm厚度增减费对应清单“车行道沥青玛蹄脂混合料SMA-13修复”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2、维护方式:车行道沥青玛蹄脂混合料SMA-13修复，厚度调整，含拆除料外运弃置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沥青砼修复-增加SBS改性剂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2、维护方式：对应清单“车行道细粒式沥青砼AC-13C修复”或“沥青玛蹄脂碎石SMA-13修复”，细粒式沥青砼AC-13C修复，增加SBS改性剂</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沥青砼修复-增加抗剥落剂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2、维护方式：对应清单“车行道细粒式沥青砼AC-13C修复”或“沥青玛蹄脂碎石SMA-13修复”，增加抗剥落剂，添加量（沥青）0.2%~0.4%(质量比）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35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沥青砼修复-增加聚酯纤维</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2、维护方式：对应清单“车行道细粒式沥青砼AC-13C修复”或“沥青玛蹄脂碎石SMA-13修复”，增加聚酯纤维，添加量（混合料）0.3%~0.4%(质量比）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彩色陶瓷颗粒防滑路面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2、维护方式:路面清扫、刮涂树脂粘结料、撒布陶瓷颗粒、收集多余陶瓷颗粒等 </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3、面层材质：改性环氧树脂高性能高分子聚合材料5mm</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12"/>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2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声屏障油漆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1、工作内容:人工动力工具除锈，底漆一面，氟碳面漆两遍</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43"/>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钢管扶手油漆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1、清除原油漆</w:t>
            </w:r>
            <w:r>
              <w:rPr>
                <w:rFonts w:hint="eastAsia" w:ascii="宋体" w:hAnsi="宋体" w:cs="宋体"/>
                <w:color w:val="auto"/>
                <w:sz w:val="24"/>
                <w:highlight w:val="none"/>
              </w:rPr>
              <w:br/>
            </w:r>
            <w:r>
              <w:rPr>
                <w:rFonts w:hint="eastAsia" w:ascii="宋体" w:hAnsi="宋体" w:cs="宋体"/>
                <w:color w:val="auto"/>
                <w:sz w:val="24"/>
                <w:highlight w:val="none"/>
              </w:rPr>
              <w:t xml:space="preserve">2、重新进行氟碳涂装，喷涂满足招标技术要求文件</w:t>
            </w:r>
            <w:r>
              <w:rPr>
                <w:rFonts w:hint="eastAsia" w:ascii="宋体" w:hAnsi="宋体" w:cs="宋体"/>
                <w:color w:val="auto"/>
                <w:sz w:val="24"/>
                <w:highlight w:val="none"/>
              </w:rPr>
              <w:br/>
            </w:r>
            <w:r>
              <w:rPr>
                <w:rFonts w:hint="eastAsia" w:ascii="宋体" w:hAnsi="宋体" w:cs="宋体"/>
                <w:color w:val="auto"/>
                <w:sz w:val="24"/>
                <w:highlight w:val="none"/>
              </w:rPr>
              <w:t xml:space="preserve">3、管道开口处，封口半球钢计入此项</w:t>
            </w:r>
            <w:r>
              <w:rPr>
                <w:rFonts w:hint="eastAsia" w:ascii="宋体" w:hAnsi="宋体" w:cs="宋体"/>
                <w:color w:val="auto"/>
                <w:sz w:val="24"/>
                <w:highlight w:val="none"/>
              </w:rPr>
              <w:br/>
            </w:r>
            <w:r>
              <w:rPr>
                <w:rFonts w:hint="eastAsia" w:ascii="宋体" w:hAnsi="宋体" w:cs="宋体"/>
                <w:color w:val="auto"/>
                <w:sz w:val="24"/>
                <w:highlight w:val="none"/>
              </w:rPr>
              <w:t xml:space="preserve">4、计量方式：按长度计量（含立柱），材质综合考虑</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钢扶手拆除</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1、工作内容:拆除现状扶手、底座,拆除料外运弃置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2.工作量计算规则:按伸缩缝长度计算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＜0.2mm裂缝封闭</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1、工作内容:沿缝打磨、封闭裂缝，登高费另计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≥0.2mm裂缝注胶</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1、工作内容:沿缝打磨、安置胶嘴、封闭裂缝、灌注裂缝胶等，不含登高费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1、工作内容：拆除原声屏障吸音板，拆除料外运弃置，安装新声屏障吸音板；</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2、声屏障材质：吸音板：面板采用优质铝合金穿孔板，厚度1.2mm，开孔率≥25％，开孔样式与高架现有款式保持一致或由采购人确定。背板及龙骨均采用优质镀锌钢板，板厚1.2mm, 龙骨1.5mm，内部采用离心法生产的48 kg/m3玻璃棉板外裹无碱憎水布。表面氟碳喷涂防腐处理（氟碳喷涂为烘烤型），穿孔面板双面喷涂，背板单面喷涂；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声屏障亚克力透明屏更换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1、工作内容：拆除原声屏障亚克力板，拆除料外运弃置，安装新声屏障亚克力板；</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2、声屏障材质：透明隔声屏体为厚度10mm亚克力板、外包厚铝合金边框</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04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1、工作内容：拆除原声屏障钢立柱，拆除料外运弃置，安装钢立柱；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H型钢，立柱高3000mm，Q235B钢立柱；桥梁伸缩缝处两端则采用相邻两侧钢立柱翼板加宽，通过预埋件与基础（防撞墙）连接，钢立柱整体构件防锈保护须采用热镀锌及氟炭喷涂处理（氟碳喷涂为烘烤型）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57"/>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1、工作内容：拆除原声屏障钢立柱，拆除料外运弃置，安装钢立柱；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H型钢，立柱高3500mm，Q235B钢立柱；桥梁伸缩缝处两端则采用相邻两侧钢立柱翼板加宽，通过预埋件与基础（防撞墙）连接，钢立柱整体构件防锈保护须采用热镀锌及氟炭喷涂处理（氟碳喷涂为烘烤型）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32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安装声屏障吸音板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1、工作内容:安装声屏障吸音板</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2、声屏障材质：吸音板：面板采用优质铝合金穿孔板，厚度1.2mm，开孔率≥25％，开孔样式与高架现有款式保持一致或由采购人确定。背板及龙骨均采用优质镀锌钢板，板厚1.2mm, 龙骨1.5mm，内部采用离心法生产的48 kg/m3玻璃棉板外裹无碱憎水布。表面氟碳喷涂防腐处理（氟碳喷涂为烘烤型），穿孔面板双面喷涂，背板单面喷涂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安装声屏障亚克力透明屏</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1、工作内容:安装声屏障亚克力透明屏</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2、声屏障材质：透明隔声屏体为厚度10mm亚克力板、外包厚铝合金边框</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87"/>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安装声屏障钢立柱</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1、工作内容:制作、安装连接铁件，安装钢立柱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2、材料、规格：植筋M22螺杆制作地脚螺栓，20mm厚底板、8mm厚限位钢板；立柱采用规格为150*150*7*10mm H型钢，立柱高3000mm,Q235B钢立柱；桥梁伸缩缝处两端则采用相邻两侧钢立柱翼板加宽，通过预埋件与基础（防撞墙）连接，钢立柱整体构件防锈保护须采用热镀锌及氟炭喷涂处理（氟碳喷涂为烘烤型）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2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安装声屏障钢立柱</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1、工作内容:制作、安装连接铁件，安装钢立柱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2、材料、规格：植筋M22螺杆制作地脚螺栓，20mm厚底板、8mm厚限位钢板；立柱采用规格为150*150*7*10mm H型钢，立柱高3500mm,Q235B钢立柱；桥梁伸缩缝处两端则采用相邻两侧钢立柱翼板加宽，通过预埋件与基础（防撞墙）连接，钢立柱整体构件防锈保护须采用热镀锌及氟炭喷涂处理（氟碳喷涂为烘烤型）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安装声屏障（下罩板）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1、工作内容：波形板立柱拆除损坏钢管立柱，拆除料外运弃置，更换新钢管立柱（114钢管）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2、工作量计算规则：按更换根数计算，钢管高综合考虑</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隔离护栏</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1、工作内容:拆除破旧波形板，更换新护栏波形板（含紧固件、仿震块等），新波形板为三波板，含拆除、运输、拆除料外运弃置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2、工作量计算规则：按更换长度，以米计算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橡胶止水带更换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1.工作内容:拆除原有伸缩缝胶条，拆除料外运弃置，更换新伸缩缝密封胶条 </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4300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1.工作内容:增设交通标线，热熔实线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 w:val="24"/>
                <w:highlight w:val="none"/>
              </w:rPr>
              <w:t xml:space="preserve">1.工作内容:增设交通标线，常温实线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rPr>
                <w:rFonts w:ascii="宋体" w:hAnsi="宋体" w:cs="宋体"/>
                <w:color w:val="auto"/>
                <w:sz w:val="24"/>
                <w:highlight w:val="none"/>
              </w:rPr>
            </w:r>
            <w:r/>
            <w:r>
              <w:rPr>
                <w:rFonts w:hint="eastAsia" w:ascii="宋体" w:hAnsi="宋体" w:cs="宋体"/>
                <w:color w:val="auto"/>
                <w:sz w:val="24"/>
                <w:highlight w:val="none"/>
              </w:rPr>
            </w:r>
            <w:r/>
            <w:r>
              <w:rPr>
                <w:rFonts w:ascii="宋体" w:hAnsi="宋体" w:cs="宋体"/>
                <w:color w:val="auto"/>
                <w:sz w:val="24"/>
                <w:szCs w:val="24"/>
                <w:highlight w:val="none"/>
              </w:rP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 w:val="24"/>
                <w:highlight w:val="none"/>
              </w:rPr>
              <w:t xml:space="preserve">1.工作内容:增设震荡线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rPr>
                <w:rFonts w:ascii="宋体" w:hAnsi="宋体" w:cs="宋体"/>
                <w:color w:val="auto"/>
                <w:sz w:val="24"/>
                <w:highlight w:val="none"/>
              </w:rPr>
            </w:r>
            <w:r/>
            <w:r>
              <w:rPr>
                <w:rFonts w:hint="eastAsia" w:ascii="宋体" w:hAnsi="宋体" w:cs="宋体"/>
                <w:color w:val="auto"/>
                <w:sz w:val="24"/>
                <w:highlight w:val="none"/>
              </w:rPr>
            </w:r>
            <w:r/>
            <w:r>
              <w:rPr>
                <w:rFonts w:ascii="宋体" w:hAnsi="宋体" w:cs="宋体"/>
                <w:color w:val="auto"/>
                <w:sz w:val="24"/>
                <w:szCs w:val="24"/>
                <w:highlight w:val="none"/>
              </w:rP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执勤费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1、工作量计算规则：以“人*月”为单位，费用自行测算， 按实际数量结算</w:t>
            </w:r>
            <w:r>
              <w:rPr>
                <w:rFonts w:hint="eastAsia" w:ascii="宋体" w:hAnsi="宋体" w:cs="宋体"/>
                <w:color w:val="auto"/>
                <w:sz w:val="24"/>
                <w:highlight w:val="none"/>
              </w:rPr>
              <w:br/>
            </w:r>
            <w:r>
              <w:rPr>
                <w:rFonts w:hint="eastAsia" w:ascii="宋体" w:hAnsi="宋体" w:cs="宋体"/>
                <w:color w:val="auto"/>
                <w:sz w:val="24"/>
                <w:highlight w:val="none"/>
              </w:rPr>
              <w:t xml:space="preserve">2、维护内容：交通执勤</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人*月</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第四部分 应急管理费</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应急管理费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雨季、冰冻季和台风暴雨等灾害性天气气候的养护值班及应急处理；紧急、特殊情况的应急处理，应急演练、临时安排等（以招标文件及采购人要求为准）</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80"/>
        </w:trPr>
        <w:tc>
          <w:tcPr>
            <w:gridSpan w:val="2"/>
            <w:tcMar>
              <w:left w:w="15" w:type="dxa"/>
              <w:top w:w="15" w:type="dxa"/>
              <w:right w:w="15" w:type="dxa"/>
            </w:tcMar>
            <w:tcW w:w="14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合计总价报价</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35"/>
        <w:spacing w:line="360" w:lineRule="auto"/>
        <w:rPr>
          <w:rFonts w:ascii="宋体" w:hAnsi="宋体" w:cs="宋体"/>
          <w:color w:val="auto"/>
          <w:sz w:val="24"/>
          <w:highlight w:val="none"/>
        </w:rPr>
      </w:pPr>
      <w:r>
        <w:rPr>
          <w:rFonts w:ascii="宋体" w:hAnsi="宋体" w:cs="宋体"/>
          <w:color w:val="auto"/>
          <w:sz w:val="24"/>
          <w:highlight w:val="none"/>
        </w:rPr>
        <w:t xml:space="preserve">注：1、投标单位的各项单价报价不得超过对应项的最高单价限价，超过为无效标。</w:t>
      </w:r>
      <w:r/>
    </w:p>
    <w:p>
      <w:pPr>
        <w:ind w:firstLine="435"/>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2、投标报价分项表中“第二部分 零星维护”第69项“设施维护手续办理费用”为不可竞争费用；各投标单位投标报价时，不可竞争费用不得让利或随意调整，否则视为无效报价。</w:t>
      </w:r>
      <w:r/>
    </w:p>
    <w:p>
      <w:pPr>
        <w:ind w:firstLine="435"/>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零星维护和专项维护的单价界定：如单次维护总面积（或总长度）大于等于200平方米（米），则此次维护的所有工作内容均按专项维护清单中的单价进行计算（如专项维护清单中没有的项目按零星维护单价进行计算）。</w:t>
      </w:r>
      <w:r/>
    </w:p>
    <w:p>
      <w:pPr>
        <w:ind w:firstLine="435"/>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、除非合同中另有规定，投标人对《开标一览表》中的报价</w:t>
      </w:r>
      <w:r>
        <w:rPr>
          <w:rFonts w:hint="eastAsia" w:ascii="宋体" w:hAnsi="宋体" w:cs="宋体"/>
          <w:color w:val="auto"/>
          <w:sz w:val="24"/>
          <w:highlight w:val="none"/>
        </w:rPr>
        <w:t xml:space="preserve">包括完成该项工作（含巡视、维护、应急抢险等）所列的服务管理内容及技术措施费、安全文明措施费、风险费、材料、机械设备、安装、维护作业范围内的建筑垃圾等杂物的清运费、废料处置费、人工（包括人员劳务费、加班费、福利费、社保等）、作业人员人身意外保险以及在从事该劳动过程中发生的其它费用（含法律法规应缴的费用）、公众责任保险、劳保、维护、代理服务费、利润、税金、政策性文件规定及合同包含的所有风险、责任等各项所有费用，并在服务期限内不受政策因素影响。</w:t>
      </w:r>
      <w:r/>
    </w:p>
    <w:p>
      <w:pPr>
        <w:ind w:firstLine="435"/>
        <w:spacing w:line="360" w:lineRule="auto"/>
        <w:rPr>
          <w:rFonts w:ascii="宋体" w:hAnsi="宋体" w:cs="宋体"/>
          <w:color w:val="auto"/>
          <w:sz w:val="24"/>
          <w:highlight w:val="none"/>
        </w:rPr>
      </w:pPr>
      <w:r>
        <w:rPr>
          <w:rFonts w:ascii="宋体" w:hAnsi="宋体" w:cs="宋体"/>
          <w:color w:val="auto"/>
          <w:sz w:val="24"/>
          <w:highlight w:val="none"/>
        </w:rPr>
        <w:t xml:space="preserve">5、单价、合价均须以人民币元表示，各金额均须用小写填写，并精确到小数点后2位，第3位四舍五入。</w:t>
      </w:r>
      <w:r/>
    </w:p>
    <w:p>
      <w:pPr>
        <w:ind w:firstLine="435"/>
        <w:spacing w:line="360" w:lineRule="auto"/>
        <w:rPr>
          <w:rFonts w:ascii="宋体" w:hAnsi="宋体" w:cs="宋体"/>
          <w:color w:val="auto"/>
          <w:sz w:val="24"/>
          <w:highlight w:val="none"/>
        </w:rPr>
      </w:pPr>
      <w:r>
        <w:rPr>
          <w:rFonts w:ascii="宋体" w:hAnsi="宋体" w:cs="宋体"/>
          <w:color w:val="auto"/>
          <w:sz w:val="24"/>
          <w:highlight w:val="none"/>
        </w:rPr>
        <w:t xml:space="preserve">6、投标人应对所投项目的全部内容进行报价，只投其中部分内容者或出现选择性报价的，其投标文件将被拒绝。</w:t>
      </w:r>
      <w:r/>
    </w:p>
    <w:p>
      <w:pPr>
        <w:rPr>
          <w:rFonts w:ascii="宋体" w:hAnsi="宋体" w:cs="宋体"/>
          <w:color w:val="auto"/>
          <w:sz w:val="24"/>
          <w:highlight w:val="none"/>
        </w:rPr>
      </w:pPr>
      <w:r>
        <w:rPr>
          <w:rFonts w:ascii="宋体" w:hAnsi="宋体" w:cs="宋体"/>
          <w:color w:val="auto"/>
          <w:sz w:val="24"/>
          <w:highlight w:val="none"/>
        </w:rPr>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投标人：（加盖CA电子公章）</w:t>
      </w:r>
      <w:r/>
    </w:p>
    <w:p>
      <w:pPr>
        <w:ind w:right="-290"/>
        <w:jc w:val="left"/>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法定代表人或被授权人：（签字或盖章）</w:t>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日期：        年     月     日</w:t>
      </w:r>
      <w:r/>
    </w:p>
    <w:p>
      <w:pPr>
        <w:spacing w:line="400" w:lineRule="exact"/>
        <w:rPr>
          <w:rFonts w:ascii="宋体" w:hAnsi="宋体" w:cs="宋体"/>
          <w:color w:val="auto"/>
          <w:sz w:val="24"/>
          <w:highlight w:val="none"/>
        </w:rPr>
        <w:outlineLvl w:val="1"/>
      </w:pPr>
      <w:r>
        <w:rPr>
          <w:rFonts w:ascii="宋体" w:hAnsi="宋体" w:cs="宋体"/>
          <w:b/>
          <w:bCs/>
          <w:color w:val="auto"/>
          <w:sz w:val="24"/>
          <w:highlight w:val="none"/>
        </w:rPr>
        <w:br w:type="page" w:clear="all"/>
      </w:r>
      <w:r>
        <w:rPr>
          <w:rFonts w:ascii="宋体" w:hAnsi="宋体" w:cs="宋体"/>
          <w:color w:val="auto"/>
          <w:sz w:val="24"/>
          <w:highlight w:val="none"/>
        </w:rPr>
        <w:t xml:space="preserve">5</w:t>
      </w:r>
      <w:r>
        <w:rPr>
          <w:rFonts w:hint="eastAsia" w:ascii="宋体" w:hAnsi="宋体" w:cs="宋体"/>
          <w:color w:val="auto"/>
          <w:sz w:val="24"/>
          <w:highlight w:val="none"/>
        </w:rPr>
        <w:t xml:space="preserve">、</w:t>
      </w:r>
      <w:bookmarkStart w:id="44" w:name="OLE_LINK15"/>
      <w:r/>
      <w:bookmarkStart w:id="45" w:name="OLE_LINK16"/>
      <w:r>
        <w:rPr>
          <w:rFonts w:ascii="宋体" w:hAnsi="宋体" w:cs="宋体"/>
          <w:color w:val="auto"/>
          <w:sz w:val="24"/>
          <w:highlight w:val="none"/>
        </w:rPr>
        <w:t xml:space="preserve">项目组成员一览表</w:t>
      </w:r>
      <w:bookmarkEnd w:id="44"/>
      <w:r/>
      <w:bookmarkEnd w:id="45"/>
      <w:r/>
      <w:r/>
    </w:p>
    <w:p>
      <w:pPr>
        <w:ind w:left="420" w:firstLine="1180"/>
        <w:spacing w:line="360" w:lineRule="exact"/>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b/>
          <w:bCs/>
          <w:color w:val="auto"/>
          <w:sz w:val="24"/>
          <w:highlight w:val="none"/>
        </w:rPr>
      </w:pPr>
      <w:r>
        <w:rPr>
          <w:rFonts w:ascii="宋体" w:hAnsi="宋体" w:cs="宋体"/>
          <w:b/>
          <w:bCs/>
          <w:color w:val="auto"/>
          <w:sz w:val="24"/>
          <w:highlight w:val="none"/>
        </w:rPr>
        <w:t xml:space="preserve">项目组成员一览表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bl>
      <w:tblPr>
        <w:tblStyle w:val="703"/>
        <w:tblW w:w="97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55"/>
        <w:gridCol w:w="1434"/>
        <w:gridCol w:w="1004"/>
        <w:gridCol w:w="737"/>
        <w:gridCol w:w="737"/>
        <w:gridCol w:w="737"/>
        <w:gridCol w:w="737"/>
        <w:gridCol w:w="737"/>
        <w:gridCol w:w="1191"/>
        <w:gridCol w:w="1701"/>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项目组所任职务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项目经历或主要工作业绩</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安全负责人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现场管理人员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4"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tabs>
                <w:tab w:val="left" w:pos="9760" w:leader="none"/>
              </w:tabs>
              <w:rPr>
                <w:rFonts w:ascii="宋体" w:hAnsi="宋体" w:cs="宋体"/>
                <w:color w:val="auto"/>
                <w:sz w:val="24"/>
                <w:highlight w:val="none"/>
              </w:rPr>
            </w:pPr>
            <w:r>
              <w:rPr>
                <w:rFonts w:ascii="宋体" w:hAnsi="宋体" w:cs="宋体"/>
                <w:color w:val="auto"/>
                <w:sz w:val="24"/>
                <w:highlight w:val="none"/>
              </w:rPr>
            </w:r>
            <w:r/>
          </w:p>
        </w:tc>
      </w:tr>
    </w:tbl>
    <w:p>
      <w:pPr>
        <w:ind w:firstLine="420"/>
        <w:jc w:val="lef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500"/>
        <w:spacing w:line="360" w:lineRule="auto"/>
        <w:rPr>
          <w:rFonts w:ascii="宋体" w:hAnsi="宋体" w:cs="宋体"/>
          <w:color w:val="auto"/>
          <w:sz w:val="24"/>
          <w:highlight w:val="none"/>
        </w:rPr>
        <w:outlineLvl w:val="0"/>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投标人：（加盖CA电子公章）</w:t>
      </w:r>
      <w:r/>
    </w:p>
    <w:p>
      <w:pPr>
        <w:ind w:right="-290"/>
        <w:jc w:val="left"/>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法定代表人或被授权人：（签字或盖章）</w:t>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b/>
          <w:bCs/>
          <w:color w:val="auto"/>
          <w:sz w:val="24"/>
          <w:highlight w:val="none"/>
        </w:rPr>
        <w:br w:type="page" w:clear="all"/>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设备、工具及易耗品清单表</w:t>
      </w:r>
      <w:r/>
    </w:p>
    <w:p>
      <w:pPr>
        <w:jc w:val="center"/>
        <w:spacing w:line="360" w:lineRule="auto"/>
        <w:rPr>
          <w:rFonts w:ascii="宋体" w:hAnsi="宋体" w:cs="宋体"/>
          <w:color w:val="auto"/>
          <w:sz w:val="24"/>
          <w:highlight w:val="none"/>
        </w:rPr>
      </w:pPr>
      <w:r>
        <w:rPr>
          <w:rFonts w:ascii="宋体" w:hAnsi="宋体" w:cs="宋体"/>
          <w:b/>
          <w:bCs/>
          <w:color w:val="auto"/>
          <w:sz w:val="24"/>
          <w:highlight w:val="none"/>
        </w:rPr>
        <w:t xml:space="preserve">设备、工具及易耗品清单表</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tbl>
      <w:tblPr>
        <w:tblStyle w:val="703"/>
        <w:tblW w:w="9628" w:type="dxa"/>
        <w:tblInd w:w="0" w:type="dxa"/>
        <w:tblLayout w:type="fixed"/>
        <w:tblCellMar>
          <w:left w:w="108" w:type="dxa"/>
          <w:top w:w="0" w:type="dxa"/>
          <w:right w:w="108" w:type="dxa"/>
          <w:bottom w:w="0" w:type="dxa"/>
        </w:tblCellMar>
        <w:tblLook w:val="04A0" w:firstRow="1" w:lastRow="0" w:firstColumn="1" w:lastColumn="0" w:noHBand="0" w:noVBand="1"/>
      </w:tblPr>
      <w:tblGrid>
        <w:gridCol w:w="1088"/>
        <w:gridCol w:w="1308"/>
        <w:gridCol w:w="2006"/>
        <w:gridCol w:w="1680"/>
        <w:gridCol w:w="934"/>
        <w:gridCol w:w="1306"/>
        <w:gridCol w:w="1306"/>
      </w:tblGrid>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生产厂家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备注</w:t>
            </w:r>
            <w:r/>
          </w:p>
        </w:tc>
      </w:tr>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投标人：（加盖CA电子公章）</w:t>
      </w:r>
      <w:r/>
    </w:p>
    <w:p>
      <w:pPr>
        <w:ind w:right="-290"/>
        <w:jc w:val="left"/>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法定代表人或被授权人：（签字或盖章）</w:t>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br w:type="page" w:clear="all"/>
      </w:r>
      <w:r>
        <w:rPr>
          <w:rFonts w:ascii="宋体" w:hAnsi="宋体" w:cs="宋体"/>
          <w:color w:val="auto"/>
          <w:sz w:val="24"/>
          <w:highlight w:val="none"/>
        </w:rPr>
        <w:t xml:space="preserve">7</w:t>
      </w:r>
      <w:r>
        <w:rPr>
          <w:rFonts w:hint="eastAsia" w:ascii="宋体" w:hAnsi="宋体" w:cs="宋体"/>
          <w:color w:val="auto"/>
          <w:sz w:val="24"/>
          <w:highlight w:val="none"/>
        </w:rPr>
        <w:t xml:space="preserve">、</w:t>
      </w:r>
      <w:bookmarkStart w:id="46" w:name="OLE_LINK18"/>
      <w:r/>
      <w:bookmarkStart w:id="47" w:name="OLE_LINK17"/>
      <w:r>
        <w:rPr>
          <w:rFonts w:ascii="宋体" w:hAnsi="宋体" w:cs="宋体"/>
          <w:color w:val="auto"/>
          <w:sz w:val="24"/>
          <w:highlight w:val="none"/>
        </w:rPr>
        <w:t xml:space="preserve">类似业绩一览表</w:t>
      </w:r>
      <w:bookmarkEnd w:id="46"/>
      <w:r/>
      <w:bookmarkEnd w:id="47"/>
      <w:r/>
      <w:r/>
    </w:p>
    <w:p>
      <w:pPr>
        <w:ind w:left="-42" w:right="357"/>
        <w:spacing w:line="400" w:lineRule="exact"/>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b/>
          <w:bCs/>
          <w:color w:val="auto"/>
          <w:sz w:val="24"/>
          <w:highlight w:val="none"/>
        </w:rPr>
        <w:t xml:space="preserve">类似业绩一览表</w:t>
      </w:r>
      <w:r/>
    </w:p>
    <w:p>
      <w:pPr>
        <w:jc w:val="center"/>
        <w:rPr>
          <w:rFonts w:ascii="宋体" w:hAnsi="宋体" w:cs="宋体"/>
          <w:color w:val="auto"/>
          <w:sz w:val="24"/>
          <w:highlight w:val="none"/>
        </w:rPr>
      </w:pPr>
      <w:r>
        <w:rPr>
          <w:rFonts w:ascii="宋体" w:hAnsi="宋体" w:cs="宋体"/>
          <w:color w:val="auto"/>
          <w:sz w:val="24"/>
          <w:highlight w:val="none"/>
        </w:rPr>
      </w:r>
      <w:r/>
    </w:p>
    <w:tbl>
      <w:tblPr>
        <w:tblStyle w:val="703"/>
        <w:tblW w:w="9468" w:type="dxa"/>
        <w:tblInd w:w="0" w:type="dxa"/>
        <w:tblLayout w:type="fixed"/>
        <w:tblCellMar>
          <w:left w:w="28" w:type="dxa"/>
          <w:top w:w="0" w:type="dxa"/>
          <w:right w:w="28" w:type="dxa"/>
          <w:bottom w:w="0" w:type="dxa"/>
        </w:tblCellMar>
        <w:tblLook w:val="04A0" w:firstRow="1" w:lastRow="0" w:firstColumn="1" w:lastColumn="0" w:noHBand="0" w:noVBand="1"/>
      </w:tblPr>
      <w:tblGrid>
        <w:gridCol w:w="713"/>
        <w:gridCol w:w="2545"/>
        <w:gridCol w:w="2198"/>
        <w:gridCol w:w="2174"/>
        <w:gridCol w:w="1838"/>
      </w:tblGrid>
      <w:tr>
        <w:trPr>
          <w:cantSplit/>
          <w:trHeight w:val="1086"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54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合同名称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9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合同签订日期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t xml:space="preserve">备注</w:t>
            </w:r>
            <w:r/>
          </w:p>
        </w:tc>
      </w:tr>
      <w:tr>
        <w:trPr>
          <w:cantSplit/>
          <w:trHeight w:val="586"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54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9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trHeight w:val="586"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54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9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trHeight w:val="586"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54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9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trHeight w:val="631" w:hRule="exact"/>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54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9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tabs>
          <w:tab w:val="left" w:pos="7520" w:leader="none"/>
        </w:tabs>
        <w:rPr>
          <w:rFonts w:ascii="宋体" w:hAnsi="宋体" w:cs="宋体"/>
          <w:color w:val="auto"/>
          <w:sz w:val="24"/>
          <w:highlight w:val="none"/>
        </w:rPr>
      </w:pPr>
      <w:r>
        <w:rPr>
          <w:rFonts w:ascii="宋体" w:hAnsi="宋体" w:cs="宋体"/>
          <w:color w:val="auto"/>
          <w:sz w:val="24"/>
          <w:highlight w:val="none"/>
        </w:rPr>
        <w:t xml:space="preserve">注：投标文件中须提供的证明材料详见第六章评分标准。</w:t>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投标人：（加盖CA电子公章）</w:t>
      </w:r>
      <w:r/>
    </w:p>
    <w:p>
      <w:pPr>
        <w:ind w:right="-290"/>
        <w:jc w:val="left"/>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法定代表人或被授权人：（签字或盖章）</w:t>
      </w:r>
      <w:r/>
    </w:p>
    <w:p>
      <w:pPr>
        <w:ind w:right="-290"/>
        <w:spacing w:line="400" w:lineRule="exact"/>
        <w:tabs>
          <w:tab w:val="left" w:pos="9000" w:leader="none"/>
        </w:tabs>
        <w:rPr>
          <w:rFonts w:ascii="宋体" w:hAnsi="宋体" w:cs="宋体"/>
          <w:color w:val="auto"/>
          <w:sz w:val="24"/>
          <w:highlight w:val="none"/>
        </w:rPr>
      </w:pPr>
      <w:r>
        <w:rPr>
          <w:rFonts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23"/>
        <w:ind w:left="0" w:firstLine="0"/>
        <w:rPr>
          <w:rFonts w:ascii="宋体" w:hAnsi="宋体" w:eastAsia="宋体" w:cs="宋体"/>
          <w:color w:val="auto"/>
          <w:sz w:val="24"/>
          <w:highlight w:val="none"/>
        </w:rPr>
      </w:pPr>
      <w:r>
        <w:rPr>
          <w:rFonts w:ascii="宋体" w:hAnsi="宋体" w:eastAsia="宋体" w:cs="宋体"/>
          <w:color w:val="auto"/>
          <w:sz w:val="24"/>
          <w:highlight w:val="none"/>
        </w:rPr>
      </w:r>
      <w:r/>
    </w:p>
    <w:p>
      <w:pPr>
        <w:pStyle w:val="723"/>
        <w:ind w:left="0" w:firstLine="0"/>
        <w:rPr>
          <w:rFonts w:ascii="宋体" w:hAnsi="宋体" w:eastAsia="宋体" w:cs="宋体"/>
          <w:color w:val="auto"/>
          <w:sz w:val="24"/>
          <w:highlight w:val="none"/>
        </w:rPr>
      </w:pPr>
      <w:r>
        <w:rPr>
          <w:rFonts w:ascii="宋体" w:hAnsi="宋体" w:eastAsia="宋体" w:cs="宋体"/>
          <w:color w:val="auto"/>
          <w:sz w:val="24"/>
          <w:highlight w:val="none"/>
        </w:rPr>
      </w:r>
      <w:r/>
    </w:p>
    <w:p>
      <w:pPr>
        <w:pStyle w:val="723"/>
        <w:ind w:left="0" w:firstLine="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480"/>
        <w:rPr>
          <w:rFonts w:ascii="宋体" w:hAnsi="宋体" w:cs="宋体"/>
          <w:color w:val="auto"/>
          <w:sz w:val="24"/>
          <w:highlight w:val="none"/>
        </w:rPr>
      </w:pPr>
      <w:r>
        <w:rPr>
          <w:rFonts w:ascii="宋体" w:hAnsi="宋体" w:cs="宋体"/>
          <w:color w:val="auto"/>
          <w:sz w:val="24"/>
          <w:highlight w:val="none"/>
        </w:rPr>
      </w:r>
      <w:r/>
    </w:p>
    <w:p>
      <w:pPr>
        <w:pStyle w:val="717"/>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br w:type="page" w:clear="all"/>
      </w:r>
      <w:r>
        <w:rPr>
          <w:rFonts w:hAnsi="宋体" w:cs="宋体"/>
          <w:color w:val="auto"/>
          <w:sz w:val="24"/>
          <w:highlight w:val="none"/>
        </w:rPr>
        <w:t xml:space="preserve">8</w:t>
      </w:r>
      <w:r>
        <w:rPr>
          <w:rFonts w:hint="eastAsia" w:hAnsi="宋体" w:cs="宋体"/>
          <w:color w:val="auto"/>
          <w:sz w:val="24"/>
          <w:highlight w:val="none"/>
        </w:rPr>
        <w:t xml:space="preserve">、偏离表（服务、商务）</w:t>
      </w:r>
      <w:r/>
    </w:p>
    <w:p>
      <w:pPr>
        <w:pStyle w:val="717"/>
        <w:jc w:val="center"/>
        <w:tabs>
          <w:tab w:val="left" w:pos="8930" w:leader="none"/>
          <w:tab w:val="left" w:pos="9306" w:leader="none"/>
        </w:tabs>
        <w:rPr>
          <w:rFonts w:hAnsi="宋体" w:cs="宋体"/>
          <w:color w:val="auto"/>
          <w:sz w:val="24"/>
          <w:highlight w:val="none"/>
        </w:rPr>
      </w:pPr>
      <w:r>
        <w:rPr>
          <w:rFonts w:hAnsi="宋体" w:cs="宋体"/>
          <w:color w:val="auto"/>
          <w:sz w:val="24"/>
          <w:highlight w:val="none"/>
        </w:rPr>
      </w:r>
      <w:r/>
    </w:p>
    <w:p>
      <w:pPr>
        <w:pStyle w:val="717"/>
        <w:jc w:val="center"/>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t xml:space="preserve">偏离表（服务、商务）</w:t>
      </w:r>
      <w:r/>
    </w:p>
    <w:p>
      <w:pPr>
        <w:pStyle w:val="717"/>
        <w:jc w:val="center"/>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p>
      <w:pPr>
        <w:pStyle w:val="717"/>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t xml:space="preserve">采购编号：</w:t>
      </w:r>
      <w:r>
        <w:rPr>
          <w:rFonts w:hint="eastAsia" w:hAnsi="宋体" w:cs="宋体"/>
          <w:color w:val="auto"/>
          <w:sz w:val="24"/>
          <w:highlight w:val="none"/>
          <w:u w:val="single"/>
        </w:rPr>
        <w:t xml:space="preserve">                      </w:t>
      </w:r>
      <w:r/>
    </w:p>
    <w:tbl>
      <w:tblPr>
        <w:tblStyle w:val="703"/>
        <w:tblW w:w="949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92"/>
        <w:gridCol w:w="2206"/>
        <w:gridCol w:w="1742"/>
        <w:gridCol w:w="2190"/>
        <w:gridCol w:w="2268"/>
      </w:tblGrid>
      <w:tr>
        <w:trPr>
          <w:jc w:val="center"/>
          <w:trHeight w:val="849" w:hRule="exact"/>
        </w:trPr>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pStyle w:val="717"/>
              <w:jc w:val="center"/>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pStyle w:val="717"/>
              <w:jc w:val="center"/>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pStyle w:val="717"/>
              <w:jc w:val="center"/>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t xml:space="preserve">采购文件技术要求</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717"/>
              <w:jc w:val="center"/>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t xml:space="preserve">供应商所投内容指标</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717"/>
              <w:jc w:val="center"/>
              <w:spacing w:line="360" w:lineRule="auto"/>
              <w:tabs>
                <w:tab w:val="left" w:pos="8930" w:leader="none"/>
                <w:tab w:val="left" w:pos="9306" w:leader="none"/>
              </w:tabs>
              <w:rPr>
                <w:rFonts w:hAnsi="宋体" w:cs="宋体"/>
                <w:color w:val="auto"/>
                <w:sz w:val="24"/>
                <w:highlight w:val="none"/>
              </w:rPr>
            </w:pPr>
            <w:r>
              <w:rPr>
                <w:rFonts w:hint="eastAsia" w:hAnsi="宋体" w:cs="宋体"/>
                <w:color w:val="auto"/>
                <w:sz w:val="24"/>
                <w:highlight w:val="none"/>
              </w:rPr>
              <w:t xml:space="preserve">备注说明（负偏离、符合、正偏离）</w:t>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r>
      <w:tr>
        <w:trPr>
          <w:jc w:val="center"/>
          <w:trHeight w:val="468"/>
        </w:trPr>
        <w:tc>
          <w:tcPr>
            <w:tcBorders>
              <w:top w:val="single" w:color="auto" w:sz="4" w:space="0"/>
              <w:left w:val="single" w:color="auto" w:sz="4" w:space="0"/>
              <w:bottom w:val="single" w:color="auto" w:sz="4" w:space="0"/>
              <w:right w:val="single" w:color="auto" w:sz="4" w:space="0"/>
            </w:tcBorders>
            <w:tcW w:w="1092"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06"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190"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tc>
      </w:tr>
    </w:tbl>
    <w:p>
      <w:pPr>
        <w:spacing w:line="360" w:lineRule="auto"/>
        <w:rPr>
          <w:rFonts w:ascii="宋体"/>
          <w:bCs/>
          <w:color w:val="auto"/>
          <w:sz w:val="24"/>
          <w:highlight w:val="none"/>
        </w:rPr>
      </w:pPr>
      <w:r>
        <w:rPr>
          <w:rFonts w:hint="eastAsia" w:ascii="宋体" w:hAnsi="宋体"/>
          <w:bCs/>
          <w:color w:val="auto"/>
          <w:sz w:val="24"/>
          <w:highlight w:val="none"/>
        </w:rPr>
        <w:t xml:space="preserve">注</w:t>
      </w:r>
      <w:r>
        <w:rPr>
          <w:rFonts w:hint="eastAsia"/>
          <w:bCs/>
          <w:color w:val="auto"/>
          <w:sz w:val="24"/>
          <w:highlight w:val="none"/>
        </w:rPr>
        <w:t xml:space="preserve">：</w:t>
      </w:r>
      <w:r>
        <w:rPr>
          <w:rFonts w:hint="eastAsia" w:ascii="宋体" w:hAnsi="宋体"/>
          <w:bCs/>
          <w:color w:val="auto"/>
          <w:sz w:val="24"/>
          <w:highlight w:val="none"/>
        </w:rPr>
        <w:t xml:space="preserve">投标人应对照招标文件技术规格</w:t>
      </w:r>
      <w:r>
        <w:rPr>
          <w:rFonts w:hint="eastAsia"/>
          <w:bCs/>
          <w:color w:val="auto"/>
          <w:sz w:val="24"/>
          <w:highlight w:val="none"/>
        </w:rPr>
        <w:t xml:space="preserve">，</w:t>
      </w:r>
      <w:r>
        <w:rPr>
          <w:rFonts w:hint="eastAsia" w:ascii="宋体" w:hAnsi="宋体"/>
          <w:bCs/>
          <w:color w:val="auto"/>
          <w:sz w:val="24"/>
          <w:highlight w:val="none"/>
        </w:rPr>
        <w:t xml:space="preserve">逐条说明所提供货物和服务已对招标文件的技术规格做出了实质性的响应</w:t>
      </w:r>
      <w:r>
        <w:rPr>
          <w:rFonts w:hint="eastAsia"/>
          <w:bCs/>
          <w:color w:val="auto"/>
          <w:sz w:val="24"/>
          <w:highlight w:val="none"/>
        </w:rPr>
        <w:t xml:space="preserve">，</w:t>
      </w:r>
      <w:r>
        <w:rPr>
          <w:rFonts w:hint="eastAsia" w:ascii="宋体" w:hAnsi="宋体"/>
          <w:bCs/>
          <w:color w:val="auto"/>
          <w:sz w:val="24"/>
          <w:highlight w:val="none"/>
        </w:rPr>
        <w:t xml:space="preserve">并声明与技术规格条文的偏差和例外。特别对有具体参数要求的指标</w:t>
      </w:r>
      <w:r>
        <w:rPr>
          <w:rFonts w:hint="eastAsia"/>
          <w:bCs/>
          <w:color w:val="auto"/>
          <w:sz w:val="24"/>
          <w:highlight w:val="none"/>
        </w:rPr>
        <w:t xml:space="preserve">，</w:t>
      </w:r>
      <w:r>
        <w:rPr>
          <w:rFonts w:hint="eastAsia" w:ascii="宋体" w:hAnsi="宋体"/>
          <w:bCs/>
          <w:color w:val="auto"/>
          <w:sz w:val="24"/>
          <w:highlight w:val="none"/>
        </w:rPr>
        <w:t xml:space="preserve">投标人必须提供所投产品的具体参数值。未在上表中说明的</w:t>
      </w:r>
      <w:r>
        <w:rPr>
          <w:rFonts w:hint="eastAsia"/>
          <w:bCs/>
          <w:color w:val="auto"/>
          <w:sz w:val="24"/>
          <w:highlight w:val="none"/>
        </w:rPr>
        <w:t xml:space="preserve">，</w:t>
      </w:r>
      <w:r>
        <w:rPr>
          <w:rFonts w:hint="eastAsia" w:ascii="宋体"/>
          <w:bCs/>
          <w:color w:val="auto"/>
          <w:sz w:val="24"/>
          <w:highlight w:val="none"/>
        </w:rPr>
        <w:t xml:space="preserve">将被认为完全响应招标文件的规定。</w:t>
      </w:r>
      <w:r/>
    </w:p>
    <w:p>
      <w:pPr>
        <w:pStyle w:val="717"/>
        <w:spacing w:line="360" w:lineRule="auto"/>
        <w:tabs>
          <w:tab w:val="left" w:pos="8930" w:leader="none"/>
          <w:tab w:val="left" w:pos="9306" w:leader="none"/>
        </w:tabs>
        <w:rPr>
          <w:rFonts w:hAnsi="宋体" w:cs="宋体"/>
          <w:color w:val="auto"/>
          <w:sz w:val="24"/>
          <w:highlight w:val="none"/>
        </w:rPr>
      </w:pPr>
      <w:r>
        <w:rPr>
          <w:rFonts w:hAnsi="宋体" w:cs="宋体"/>
          <w:color w:val="auto"/>
          <w:sz w:val="24"/>
          <w:highlight w:val="none"/>
        </w:rPr>
      </w:r>
      <w:r/>
    </w:p>
    <w:p>
      <w:pPr>
        <w:pStyle w:val="964"/>
        <w:ind w:right="-290"/>
        <w:spacing w:line="400" w:lineRule="exact"/>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投标人：（加盖CA电子公章）</w:t>
      </w:r>
      <w:r/>
    </w:p>
    <w:p>
      <w:pPr>
        <w:pStyle w:val="964"/>
        <w:ind w:right="-290"/>
        <w:jc w:val="left"/>
        <w:spacing w:line="400" w:lineRule="exact"/>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法定代表人或被授权人：（签字或盖章）</w:t>
      </w:r>
      <w:r/>
    </w:p>
    <w:p>
      <w:pPr>
        <w:pStyle w:val="967"/>
        <w:ind w:right="-290"/>
        <w:spacing w:line="400" w:lineRule="exact"/>
        <w:widowControl w:val="off"/>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spacing w:line="360" w:lineRule="auto"/>
        <w:rPr>
          <w:bCs/>
          <w:color w:val="auto"/>
          <w:sz w:val="24"/>
          <w:highlight w:val="none"/>
        </w:rPr>
      </w:pPr>
      <w:r>
        <w:rPr>
          <w:b/>
          <w:bCs/>
          <w:color w:val="auto"/>
          <w:sz w:val="24"/>
          <w:highlight w:val="none"/>
        </w:rPr>
        <w:br w:type="page" w:clear="all"/>
      </w:r>
      <w:r>
        <w:rPr>
          <w:color w:val="auto"/>
          <w:sz w:val="24"/>
          <w:highlight w:val="none"/>
        </w:rPr>
        <w:t xml:space="preserve">9</w:t>
      </w:r>
      <w:r>
        <w:rPr>
          <w:rFonts w:hint="eastAsia"/>
          <w:color w:val="auto"/>
          <w:sz w:val="24"/>
          <w:highlight w:val="none"/>
        </w:rPr>
        <w:t xml:space="preserve">、</w:t>
      </w:r>
      <w:r>
        <w:rPr>
          <w:color w:val="auto"/>
          <w:sz w:val="24"/>
          <w:highlight w:val="none"/>
        </w:rPr>
        <w:t xml:space="preserve">服务承诺书</w:t>
      </w:r>
      <w:r/>
    </w:p>
    <w:p>
      <w:pPr>
        <w:spacing w:line="360" w:lineRule="auto"/>
        <w:rPr>
          <w:b/>
          <w:bCs/>
          <w:color w:val="auto"/>
          <w:sz w:val="24"/>
          <w:highlight w:val="none"/>
        </w:rPr>
      </w:pPr>
      <w:r>
        <w:rPr>
          <w:b/>
          <w:bCs/>
          <w:color w:val="auto"/>
          <w:sz w:val="24"/>
          <w:highlight w:val="none"/>
        </w:rPr>
      </w:r>
      <w:r/>
    </w:p>
    <w:p>
      <w:pPr>
        <w:jc w:val="center"/>
        <w:spacing w:line="360" w:lineRule="auto"/>
        <w:rPr>
          <w:bCs/>
          <w:color w:val="auto"/>
          <w:sz w:val="24"/>
          <w:highlight w:val="none"/>
        </w:rPr>
      </w:pPr>
      <w:r>
        <w:rPr>
          <w:rFonts w:hint="eastAsia"/>
          <w:bCs/>
          <w:color w:val="auto"/>
          <w:sz w:val="24"/>
          <w:highlight w:val="none"/>
        </w:rPr>
        <w:t xml:space="preserve">服务承诺书</w:t>
      </w:r>
      <w:r/>
    </w:p>
    <w:tbl>
      <w:tblPr>
        <w:tblStyle w:val="703"/>
        <w:tblW w:w="8522" w:type="dxa"/>
        <w:tblInd w:w="6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6"/>
        <w:gridCol w:w="3060"/>
        <w:gridCol w:w="1800"/>
        <w:gridCol w:w="2616"/>
      </w:tblGrid>
      <w:tr>
        <w:trPr>
          <w:trHeight w:val="538"/>
        </w:trPr>
        <w:tc>
          <w:tcPr>
            <w:tcW w:w="104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p>
        </w:tc>
        <w:tc>
          <w:tcPr>
            <w:tcW w:w="306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售后服务内容</w:t>
            </w:r>
            <w:r/>
          </w:p>
        </w:tc>
        <w:tc>
          <w:tcPr>
            <w:tcW w:w="180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期限（时间）</w:t>
            </w:r>
            <w:r/>
          </w:p>
        </w:tc>
        <w:tc>
          <w:tcPr>
            <w:tcW w:w="261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p>
        </w:tc>
      </w:tr>
      <w:tr>
        <w:trPr>
          <w:trHeight w:val="375"/>
        </w:trPr>
        <w:tc>
          <w:tcPr>
            <w:tcW w:w="104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1</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服务响应</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455"/>
        </w:trPr>
        <w:tc>
          <w:tcPr>
            <w:tcW w:w="104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2</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到达现场</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373"/>
        </w:trPr>
        <w:tc>
          <w:tcPr>
            <w:tcW w:w="104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3</w:t>
            </w:r>
            <w:r/>
          </w:p>
        </w:tc>
        <w:tc>
          <w:tcPr>
            <w:tcW w:w="3060" w:type="dxa"/>
            <w:vAlign w:val="center"/>
            <w:textDirection w:val="lrTb"/>
            <w:noWrap w:val="false"/>
          </w:tcPr>
          <w:p>
            <w:pPr>
              <w:spacing w:line="360" w:lineRule="auto"/>
              <w:rPr>
                <w:rFonts w:ascii="宋体" w:hAnsi="宋体"/>
                <w:bCs/>
                <w:color w:val="auto"/>
                <w:sz w:val="24"/>
                <w:highlight w:val="none"/>
              </w:rPr>
            </w:pPr>
            <w:r>
              <w:rPr>
                <w:rFonts w:hint="eastAsia" w:ascii="宋体" w:hAnsi="宋体"/>
                <w:bCs/>
                <w:color w:val="auto"/>
                <w:sz w:val="24"/>
                <w:highlight w:val="none"/>
              </w:rPr>
              <w:t xml:space="preserve">解决问题</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rHeight w:val="854"/>
        </w:trPr>
        <w:tc>
          <w:tcPr>
            <w:tcW w:w="104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4</w:t>
            </w:r>
            <w:r/>
          </w:p>
        </w:tc>
        <w:tc>
          <w:tcPr>
            <w:tcW w:w="306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80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616"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rPr>
          <w:rFonts w:ascii="宋体" w:hAnsi="宋体"/>
          <w:bCs/>
          <w:color w:val="auto"/>
          <w:sz w:val="24"/>
          <w:highlight w:val="none"/>
        </w:rPr>
      </w:pPr>
      <w:r>
        <w:rPr>
          <w:rFonts w:hint="eastAsia" w:ascii="宋体" w:hAnsi="宋体"/>
          <w:bCs/>
          <w:color w:val="auto"/>
          <w:sz w:val="24"/>
          <w:highlight w:val="none"/>
        </w:rPr>
        <w:t xml:space="preserve">注：1、上述1、2、3条请明确时间；</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2、针对服务内容有必须说明的事项，请在“备注”栏目内注明；</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3、如有其它售后服务内容，可自行参照填写。</w:t>
      </w:r>
      <w:r/>
    </w:p>
    <w:p>
      <w:pPr>
        <w:spacing w:line="360" w:lineRule="auto"/>
        <w:rPr>
          <w:bCs/>
          <w:color w:val="auto"/>
          <w:sz w:val="24"/>
          <w:highlight w:val="none"/>
        </w:rPr>
      </w:pPr>
      <w:r>
        <w:rPr>
          <w:bCs/>
          <w:color w:val="auto"/>
          <w:sz w:val="24"/>
          <w:highlight w:val="none"/>
        </w:rPr>
      </w:r>
      <w:r/>
    </w:p>
    <w:p>
      <w:pPr>
        <w:pStyle w:val="964"/>
        <w:ind w:right="-290"/>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投标人：</w:t>
      </w:r>
      <w:r>
        <w:rPr>
          <w:rFonts w:hint="eastAsia" w:hAnsi="宋体" w:eastAsia="宋体" w:cs="宋体"/>
          <w:color w:val="auto"/>
          <w:sz w:val="24"/>
          <w:szCs w:val="24"/>
          <w:highlight w:val="none"/>
        </w:rPr>
        <w:t xml:space="preserve">（加盖CA电子公章）</w:t>
      </w:r>
      <w:r/>
    </w:p>
    <w:p>
      <w:pPr>
        <w:pStyle w:val="964"/>
        <w:ind w:right="-290"/>
        <w:jc w:val="left"/>
        <w:spacing w:line="400" w:lineRule="exact"/>
        <w:tabs>
          <w:tab w:val="left" w:pos="9000" w:leader="none"/>
        </w:tabs>
        <w:rPr>
          <w:rFonts w:hAnsi="宋体" w:eastAsia="宋体" w:cs="宋体"/>
          <w:color w:val="auto"/>
          <w:sz w:val="24"/>
          <w:highlight w:val="none"/>
        </w:rPr>
      </w:pPr>
      <w:r>
        <w:rPr>
          <w:rFonts w:hint="eastAsia" w:hAnsi="宋体" w:eastAsia="宋体" w:cs="宋体"/>
          <w:color w:val="auto"/>
          <w:sz w:val="24"/>
          <w:highlight w:val="none"/>
        </w:rPr>
        <w:t xml:space="preserve">法定代表人或被授权人：（签字或盖章）</w:t>
      </w:r>
      <w:r/>
    </w:p>
    <w:p>
      <w:pPr>
        <w:pStyle w:val="967"/>
        <w:ind w:right="-290"/>
        <w:spacing w:line="400" w:lineRule="exact"/>
        <w:widowControl w:val="off"/>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spacing w:line="360" w:lineRule="auto"/>
        <w:rPr>
          <w:rFonts w:cs="Arial"/>
          <w:bCs/>
          <w:color w:val="auto"/>
          <w:sz w:val="24"/>
          <w:highlight w:val="none"/>
        </w:rPr>
        <w:outlineLvl w:val="1"/>
      </w:pPr>
      <w:r>
        <w:rPr>
          <w:rFonts w:cs="Arial"/>
          <w:bCs/>
          <w:color w:val="auto"/>
          <w:sz w:val="24"/>
          <w:highlight w:val="none"/>
        </w:rPr>
      </w:r>
      <w:r/>
    </w:p>
    <w:p>
      <w:pPr>
        <w:rPr>
          <w:rFonts w:cs="Arial"/>
          <w:bCs/>
          <w:color w:val="auto"/>
          <w:sz w:val="24"/>
          <w:highlight w:val="none"/>
        </w:rPr>
      </w:pPr>
      <w:r>
        <w:rPr>
          <w:rFonts w:hint="eastAsia" w:cs="Arial"/>
          <w:bCs/>
          <w:color w:val="auto"/>
          <w:sz w:val="24"/>
          <w:highlight w:val="none"/>
        </w:rPr>
        <w:br w:type="page" w:clear="all"/>
      </w:r>
      <w:r/>
    </w:p>
    <w:p>
      <w:pPr>
        <w:pStyle w:val="960"/>
        <w:spacing w:line="360" w:lineRule="auto"/>
        <w:tabs>
          <w:tab w:val="left" w:pos="8930" w:leader="none"/>
          <w:tab w:val="left" w:pos="9306" w:leader="none"/>
        </w:tabs>
        <w:rPr>
          <w:rStyle w:val="941"/>
          <w:rFonts w:hAnsi="宋体" w:eastAsia="宋体" w:cs="宋体"/>
          <w:color w:val="auto"/>
          <w:sz w:val="24"/>
          <w:highlight w:val="none"/>
        </w:rPr>
      </w:pPr>
      <w:r>
        <w:rPr>
          <w:rStyle w:val="941"/>
          <w:rFonts w:hAnsi="宋体" w:eastAsia="宋体" w:cs="宋体"/>
          <w:color w:val="auto"/>
          <w:sz w:val="24"/>
          <w:highlight w:val="none"/>
        </w:rPr>
        <w:t xml:space="preserve">10</w:t>
      </w:r>
      <w:r>
        <w:rPr>
          <w:rStyle w:val="941"/>
          <w:rFonts w:hint="eastAsia" w:hAnsi="宋体" w:eastAsia="宋体" w:cs="宋体"/>
          <w:color w:val="auto"/>
          <w:sz w:val="24"/>
          <w:highlight w:val="none"/>
        </w:rPr>
        <w:t xml:space="preserve">、参加政府采购活动前三年内，在经营活动中没有重大违法记录声明</w:t>
      </w:r>
      <w:r/>
    </w:p>
    <w:p>
      <w:pPr>
        <w:pStyle w:val="960"/>
        <w:spacing w:line="360" w:lineRule="auto"/>
        <w:tabs>
          <w:tab w:val="left" w:pos="8930" w:leader="none"/>
          <w:tab w:val="left" w:pos="9306" w:leader="none"/>
        </w:tabs>
        <w:rPr>
          <w:rStyle w:val="941"/>
          <w:rFonts w:hAnsi="宋体" w:eastAsia="宋体" w:cs="宋体"/>
          <w:color w:val="auto"/>
          <w:sz w:val="24"/>
          <w:highlight w:val="none"/>
        </w:rPr>
      </w:pPr>
      <w:r>
        <w:rPr>
          <w:rFonts w:hAnsi="宋体" w:eastAsia="宋体" w:cs="宋体"/>
          <w:color w:val="auto"/>
          <w:sz w:val="24"/>
          <w:highlight w:val="none"/>
        </w:rPr>
      </w:r>
      <w:r/>
    </w:p>
    <w:p>
      <w:pPr>
        <w:pStyle w:val="960"/>
        <w:spacing w:line="360" w:lineRule="auto"/>
        <w:tabs>
          <w:tab w:val="left" w:pos="8930" w:leader="none"/>
          <w:tab w:val="left" w:pos="9306" w:leader="none"/>
        </w:tabs>
        <w:rPr>
          <w:rStyle w:val="941"/>
          <w:rFonts w:hAnsi="宋体" w:eastAsia="宋体" w:cs="宋体"/>
          <w:color w:val="auto"/>
          <w:sz w:val="24"/>
          <w:highlight w:val="none"/>
        </w:rPr>
      </w:pPr>
      <w:r>
        <w:rPr>
          <w:rStyle w:val="941"/>
          <w:rFonts w:hint="eastAsia" w:hAnsi="宋体" w:eastAsia="宋体" w:cs="宋体"/>
          <w:color w:val="auto"/>
          <w:sz w:val="24"/>
          <w:highlight w:val="none"/>
          <w:u w:val="single"/>
        </w:rPr>
        <w:t xml:space="preserve">苏州睿乔招投标咨询服务有限公司</w:t>
      </w:r>
      <w:r>
        <w:rPr>
          <w:rStyle w:val="941"/>
          <w:rFonts w:hint="eastAsia" w:hAnsi="宋体" w:eastAsia="宋体" w:cs="宋体"/>
          <w:color w:val="auto"/>
          <w:sz w:val="24"/>
          <w:highlight w:val="none"/>
        </w:rPr>
        <w:t xml:space="preserve">：</w:t>
      </w:r>
      <w:r/>
    </w:p>
    <w:p>
      <w:pPr>
        <w:pStyle w:val="960"/>
        <w:ind w:firstLine="480"/>
        <w:spacing w:line="360" w:lineRule="auto"/>
        <w:widowControl/>
        <w:tabs>
          <w:tab w:val="left" w:pos="8930" w:leader="none"/>
          <w:tab w:val="left" w:pos="9306" w:leader="none"/>
        </w:tabs>
        <w:rPr>
          <w:rStyle w:val="941"/>
          <w:rFonts w:hAnsi="宋体" w:eastAsia="宋体" w:cs="宋体"/>
          <w:color w:val="auto"/>
          <w:sz w:val="24"/>
          <w:highlight w:val="none"/>
        </w:rPr>
      </w:pPr>
      <w:r>
        <w:rPr>
          <w:rStyle w:val="941"/>
          <w:rFonts w:hint="eastAsia" w:hAnsi="宋体" w:eastAsia="宋体" w:cs="宋体"/>
          <w:color w:val="auto"/>
          <w:sz w:val="24"/>
          <w:highlight w:val="none"/>
        </w:rPr>
        <w:t xml:space="preserve">我单位</w:t>
      </w:r>
      <w:r>
        <w:rPr>
          <w:rStyle w:val="941"/>
          <w:rFonts w:hint="eastAsia" w:hAnsi="宋体" w:eastAsia="宋体" w:cs="宋体"/>
          <w:color w:val="auto"/>
          <w:sz w:val="24"/>
          <w:highlight w:val="none"/>
          <w:u w:val="single"/>
        </w:rPr>
        <w:t xml:space="preserve">              </w:t>
      </w:r>
      <w:r>
        <w:rPr>
          <w:rStyle w:val="941"/>
          <w:rFonts w:hint="eastAsia" w:hAnsi="宋体" w:eastAsia="宋体" w:cs="宋体"/>
          <w:color w:val="auto"/>
          <w:sz w:val="24"/>
          <w:highlight w:val="none"/>
        </w:rPr>
        <w:t xml:space="preserve">(供应商名称)在参加政府采购活动前三年内，没有重大违法记录，特此声明。</w:t>
      </w:r>
      <w:r/>
    </w:p>
    <w:p>
      <w:pPr>
        <w:ind w:firstLine="480"/>
        <w:spacing w:line="360" w:lineRule="auto"/>
        <w:rPr>
          <w:rFonts w:ascii="宋体" w:hAnsi="宋体" w:cs="宋体"/>
          <w:color w:val="auto"/>
          <w:sz w:val="24"/>
          <w:highlight w:val="none"/>
        </w:rPr>
      </w:pPr>
      <w:r>
        <w:rPr>
          <w:rStyle w:val="941"/>
          <w:rFonts w:hint="eastAsia" w:ascii="宋体" w:hAnsi="宋体" w:cs="宋体"/>
          <w:color w:val="auto"/>
          <w:sz w:val="24"/>
          <w:highlight w:val="none"/>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投标人：（单位盖章）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48"/>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pStyle w:val="948"/>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pStyle w:val="948"/>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pStyle w:val="948"/>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pStyle w:val="948"/>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pStyle w:val="948"/>
        <w:spacing w:line="360" w:lineRule="auto"/>
        <w:tabs>
          <w:tab w:val="left" w:pos="8930" w:leader="none"/>
          <w:tab w:val="left" w:pos="9306" w:leader="none"/>
        </w:tabs>
        <w:rPr>
          <w:rFonts w:hAnsi="宋体" w:eastAsia="宋体" w:cs="宋体"/>
          <w:bCs/>
          <w:color w:val="auto"/>
          <w:sz w:val="24"/>
          <w:highlight w:val="none"/>
        </w:rPr>
      </w:pPr>
      <w:r>
        <w:rPr>
          <w:rFonts w:hAnsi="宋体" w:eastAsia="宋体" w:cs="宋体"/>
          <w:bCs/>
          <w:color w:val="auto"/>
          <w:sz w:val="24"/>
          <w:highlight w:val="none"/>
        </w:rPr>
      </w:r>
      <w:r/>
    </w:p>
    <w:p>
      <w:pPr>
        <w:pStyle w:val="948"/>
        <w:spacing w:line="360" w:lineRule="auto"/>
        <w:tabs>
          <w:tab w:val="left" w:pos="8930" w:leader="none"/>
          <w:tab w:val="left" w:pos="9306" w:leader="none"/>
        </w:tabs>
        <w:rPr>
          <w:rFonts w:hAnsi="宋体" w:eastAsia="宋体" w:cs="宋体"/>
          <w:color w:val="auto"/>
          <w:sz w:val="24"/>
          <w:highlight w:val="none"/>
        </w:rPr>
      </w:pPr>
      <w:r>
        <w:rPr>
          <w:rFonts w:hint="eastAsia" w:hAnsi="宋体" w:eastAsia="宋体" w:cs="宋体"/>
          <w:bCs/>
          <w:color w:val="auto"/>
          <w:sz w:val="24"/>
          <w:highlight w:val="none"/>
        </w:rPr>
        <w:br w:type="page" w:clear="all"/>
      </w:r>
      <w:r>
        <w:rPr>
          <w:rFonts w:hAnsi="宋体" w:eastAsia="宋体" w:cs="宋体"/>
          <w:bCs/>
          <w:color w:val="auto"/>
          <w:sz w:val="24"/>
          <w:highlight w:val="none"/>
        </w:rPr>
        <w:t xml:space="preserve">11</w:t>
      </w:r>
      <w:r>
        <w:rPr>
          <w:rFonts w:hint="eastAsia" w:hAnsi="宋体" w:eastAsia="宋体" w:cs="宋体"/>
          <w:color w:val="auto"/>
          <w:sz w:val="24"/>
          <w:highlight w:val="none"/>
        </w:rPr>
        <w:t xml:space="preserve">、资格证明文件</w:t>
      </w:r>
      <w:r/>
    </w:p>
    <w:p>
      <w:pPr>
        <w:pStyle w:val="950"/>
        <w:ind w:firstLine="0"/>
        <w:spacing w:before="156" w:after="156" w:line="360" w:lineRule="auto"/>
        <w:tabs>
          <w:tab w:val="left" w:pos="8930" w:leader="none"/>
          <w:tab w:val="left" w:pos="9306" w:leader="none"/>
        </w:tabs>
        <w:rPr>
          <w:rFonts w:ascii="宋体" w:hAnsi="宋体" w:eastAsia="宋体" w:cs="宋体"/>
          <w:color w:val="auto"/>
          <w:highlight w:val="none"/>
        </w:rPr>
      </w:pPr>
      <w:r>
        <w:rPr>
          <w:rFonts w:hint="eastAsia" w:ascii="宋体" w:hAnsi="宋体" w:eastAsia="宋体" w:cs="宋体"/>
          <w:color w:val="auto"/>
          <w:highlight w:val="none"/>
        </w:rPr>
        <w:t xml:space="preserve">（1）关于资格文件的声明函</w:t>
      </w:r>
      <w:r/>
    </w:p>
    <w:p>
      <w:pPr>
        <w:pStyle w:val="950"/>
        <w:ind w:firstLine="480"/>
        <w:jc w:val="center"/>
        <w:spacing w:before="156" w:after="156" w:line="360" w:lineRule="auto"/>
        <w:tabs>
          <w:tab w:val="left" w:pos="8930" w:leader="none"/>
          <w:tab w:val="left" w:pos="9306" w:leader="none"/>
        </w:tabs>
        <w:rPr>
          <w:rFonts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950"/>
        <w:ind w:firstLine="0"/>
        <w:spacing w:before="156" w:after="156" w:line="360" w:lineRule="auto"/>
        <w:tabs>
          <w:tab w:val="left" w:pos="8930" w:leader="none"/>
          <w:tab w:val="left" w:pos="9306" w:leader="none"/>
        </w:tabs>
        <w:rPr>
          <w:rFonts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0"/>
        <w:ind w:firstLine="480"/>
        <w:spacing w:before="156" w:after="156" w:line="360" w:lineRule="auto"/>
        <w:tabs>
          <w:tab w:val="left" w:pos="8930" w:leader="none"/>
          <w:tab w:val="left" w:pos="9306" w:leader="none"/>
        </w:tabs>
        <w:rPr>
          <w:rFonts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950"/>
        <w:ind w:firstLine="480"/>
        <w:spacing w:before="156" w:after="156" w:line="360" w:lineRule="auto"/>
        <w:tabs>
          <w:tab w:val="left" w:pos="8930" w:leader="none"/>
          <w:tab w:val="left" w:pos="9306" w:leader="none"/>
        </w:tabs>
        <w:rPr>
          <w:rFonts w:ascii="宋体" w:hAnsi="宋体" w:eastAsia="宋体" w:cs="宋体"/>
          <w:color w:val="auto"/>
          <w:highlight w:val="none"/>
        </w:rPr>
      </w:pPr>
      <w:r>
        <w:rPr>
          <w:rFonts w:ascii="宋体" w:hAnsi="宋体" w:eastAsia="宋体" w:cs="宋体"/>
          <w:color w:val="auto"/>
          <w:highlight w:val="none"/>
        </w:rPr>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投标人：（单位盖章）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highlight w:val="none"/>
        </w:rPr>
      </w:pPr>
      <w:r>
        <w:rPr>
          <w:rFonts w:hint="eastAsia" w:ascii="宋体" w:hAnsi="宋体" w:cs="宋体"/>
          <w:color w:val="auto"/>
          <w:highlight w:val="none"/>
        </w:rPr>
        <w:br w:type="page" w:clear="all"/>
      </w:r>
      <w:r/>
    </w:p>
    <w:p>
      <w:pPr>
        <w:pStyle w:val="950"/>
        <w:ind w:firstLine="0"/>
        <w:spacing w:before="156" w:after="156" w:line="360" w:lineRule="auto"/>
        <w:tabs>
          <w:tab w:val="left" w:pos="8505" w:leader="none"/>
          <w:tab w:val="left" w:pos="9306" w:leader="none"/>
        </w:tabs>
        <w:rPr>
          <w:rFonts w:ascii="宋体" w:hAnsi="宋体" w:eastAsia="宋体" w:cs="宋体"/>
          <w:color w:val="auto"/>
          <w:highlight w:val="none"/>
        </w:rPr>
      </w:pPr>
      <w:r>
        <w:rPr>
          <w:rFonts w:hint="eastAsia" w:ascii="宋体" w:hAnsi="宋体" w:eastAsia="宋体" w:cs="宋体"/>
          <w:color w:val="auto"/>
          <w:highlight w:val="none"/>
        </w:rPr>
        <w:t xml:space="preserve">（2）投标单位情况表</w:t>
      </w:r>
      <w:r/>
    </w:p>
    <w:p>
      <w:pPr>
        <w:ind w:firstLine="4226"/>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投标单位情况表</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单位名称（盖章）</w:t>
      </w:r>
      <w:r/>
    </w:p>
    <w:tbl>
      <w:tblPr>
        <w:tblStyle w:val="703"/>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8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gridSpan w:val="2"/>
            <w:tcW w:w="256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8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gridSpan w:val="2"/>
            <w:tcW w:w="2560" w:type="dxa"/>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职工人数</w:t>
            </w:r>
            <w:r/>
          </w:p>
        </w:tc>
        <w:tc>
          <w:tcPr>
            <w:tcW w:w="18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c>
          <w:tcPr>
            <w:gridSpan w:val="2"/>
            <w:tcW w:w="360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其中：有中高级以上职称的人数</w:t>
            </w:r>
            <w:r/>
          </w:p>
        </w:tc>
        <w:tc>
          <w:tcPr>
            <w:tcW w:w="11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资产总计</w:t>
            </w:r>
            <w:r/>
          </w:p>
        </w:tc>
        <w:tc>
          <w:tcPr>
            <w:tcW w:w="1800" w:type="dxa"/>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c>
          <w:tcPr>
            <w:tcW w:w="21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净资产</w:t>
            </w:r>
            <w:r/>
          </w:p>
        </w:tc>
        <w:tc>
          <w:tcPr>
            <w:gridSpan w:val="2"/>
            <w:tcW w:w="2560" w:type="dxa"/>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销售收入</w:t>
            </w:r>
            <w:r/>
          </w:p>
        </w:tc>
        <w:tc>
          <w:tcPr>
            <w:gridSpan w:val="2"/>
            <w:tcW w:w="256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2024年       万元</w:t>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gridSpan w:val="4"/>
            <w:tcW w:w="652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2024年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其中：</w:t>
            </w:r>
            <w:r/>
          </w:p>
        </w:tc>
        <w:tc>
          <w:tcPr>
            <w:gridSpan w:val="2"/>
            <w:tcW w:w="256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自有面积     平方米</w:t>
            </w:r>
            <w:r/>
          </w:p>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近三年来完成或正在履行的重大合同情况</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最近2年内在经营过程中受到何种奖励或处分</w:t>
            </w:r>
            <w:r/>
          </w:p>
        </w:tc>
        <w:tc>
          <w:tcPr>
            <w:gridSpan w:val="4"/>
            <w:tcW w:w="652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（包括财政、工商、税务、物价、技监部门稽查情况和结果）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4"/>
            <w:tcW w:w="6520"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（包括解决方式和结果）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最近3年内主要负责人有无经济犯罪被司法机关追究的情况及说明</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4"/>
            <w:tcW w:w="6520" w:type="dxa"/>
            <w:textDirection w:val="lrTb"/>
            <w:noWrap w:val="false"/>
          </w:tcPr>
          <w:p>
            <w:pPr>
              <w:jc w:val="cente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tc>
      </w:tr>
    </w:tbl>
    <w:p>
      <w:pP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jc w:val="left"/>
        <w:spacing w:line="360" w:lineRule="auto"/>
        <w:tabs>
          <w:tab w:val="left" w:pos="8930" w:leader="none"/>
          <w:tab w:val="left" w:pos="9306" w:leader="none"/>
        </w:tabs>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、中小企业声明函（格式）</w:t>
      </w:r>
      <w:r/>
    </w:p>
    <w:p>
      <w:pPr>
        <w:rPr>
          <w:color w:val="auto"/>
          <w:highlight w:val="none"/>
        </w:rPr>
      </w:pPr>
      <w:r>
        <w:rPr>
          <w:color w:val="auto"/>
          <w:highlight w:val="none"/>
        </w:rPr>
      </w:r>
      <w:r/>
    </w:p>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中小企业声明函（工程、服务）</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（采购文件中明确的所属行业）；承建（承接）企业为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（企业名称），从业人员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（中型企业、小型企业、微型企业）； </w:t>
      </w:r>
      <w:r/>
    </w:p>
    <w:p>
      <w:pPr>
        <w:numPr>
          <w:ilvl w:val="0"/>
          <w:numId w:val="1"/>
        </w:num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（采购文件中明确的所属行业）；承建（承接）企业为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（企业名称），从业人员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ind w:firstLine="6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企业名称（盖章）： </w:t>
      </w:r>
      <w:r/>
    </w:p>
    <w:p>
      <w:pPr>
        <w:ind w:firstLine="6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日 期： </w:t>
      </w:r>
      <w:r/>
    </w:p>
    <w:p>
      <w:pPr>
        <w:jc w:val="left"/>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注：从业人员、营业收入、资产总额填报上一年度数据，无上一年度数据的新成立企业可不填报。</w:t>
      </w:r>
      <w:r/>
    </w:p>
    <w:p>
      <w:pPr>
        <w:rPr>
          <w:rFonts w:ascii="宋体" w:hAnsi="宋体" w:cs="宋体"/>
          <w:color w:val="auto"/>
          <w:sz w:val="24"/>
          <w:highlight w:val="none"/>
        </w:rPr>
      </w:pPr>
      <w:r>
        <w:rPr>
          <w:rFonts w:ascii="宋体" w:hAnsi="宋体" w:cs="宋体"/>
          <w:color w:val="auto"/>
          <w:sz w:val="24"/>
          <w:highlight w:val="none"/>
        </w:rPr>
      </w:r>
      <w:r/>
    </w:p>
    <w:p>
      <w:pPr>
        <w:pStyle w:val="729"/>
        <w:spacing w:before="0" w:after="0"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备注：1.从业人员、营业收入、资产总额填报上一年度数据，无上一年度数据的新成立企业可不填报。</w:t>
      </w:r>
      <w:r/>
    </w:p>
    <w:p>
      <w:pPr>
        <w:pStyle w:val="729"/>
        <w:ind w:firstLine="630"/>
        <w:spacing w:before="0" w:after="0"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729"/>
        <w:ind w:firstLine="630"/>
        <w:spacing w:before="0" w:after="0"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29"/>
        <w:ind w:firstLine="630"/>
        <w:spacing w:before="0" w:after="0"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4.如未对（中型企业、小型企业、微型企业）进行勾选，视同非中小微企业，不可享受相应扶持政策。</w:t>
      </w:r>
      <w:r/>
    </w:p>
    <w:p>
      <w:pPr>
        <w:pStyle w:val="729"/>
        <w:ind w:firstLine="630"/>
        <w:spacing w:before="0" w:after="0" w:line="360" w:lineRule="auto"/>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5.成交单位为中小企业的，《中小企业声明函》将随成交结果同时公告。</w:t>
      </w:r>
      <w:r/>
    </w:p>
    <w:p>
      <w:pPr>
        <w:pStyle w:val="704"/>
        <w:spacing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pStyle w:val="705"/>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04"/>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05"/>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704"/>
        <w:rPr>
          <w:rFonts w:ascii="宋体" w:hAnsi="宋体" w:cs="宋体"/>
          <w:color w:val="auto"/>
          <w:sz w:val="24"/>
          <w:highlight w:val="none"/>
        </w:rPr>
      </w:pPr>
      <w:r>
        <w:rPr>
          <w:rFonts w:ascii="宋体" w:hAnsi="宋体" w:cs="宋体"/>
          <w:color w:val="auto"/>
          <w:sz w:val="24"/>
          <w:highlight w:val="none"/>
        </w:rPr>
      </w:r>
      <w:r/>
    </w:p>
    <w:p>
      <w:pPr>
        <w:pStyle w:val="705"/>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szCs w:val="24"/>
          <w:highlight w:val="none"/>
        </w:rPr>
      </w:pPr>
      <w:r>
        <w:rPr>
          <w:rFonts w:ascii="宋体" w:hAnsi="宋体" w:cs="宋体"/>
          <w:color w:val="auto"/>
          <w:sz w:val="24"/>
          <w:highlight w:val="none"/>
        </w:rPr>
      </w:r>
      <w:r>
        <w:rPr>
          <w:rFonts w:ascii="宋体" w:hAnsi="宋体" w:cs="宋体"/>
          <w:color w:val="auto"/>
          <w:sz w:val="24"/>
          <w:highlight w:val="none"/>
        </w:rPr>
      </w:r>
    </w:p>
    <w:p>
      <w:pPr>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p>
    <w:p>
      <w:pPr>
        <w:rPr>
          <w:rFonts w:ascii="宋体" w:hAnsi="宋体" w:cs="宋体"/>
          <w:color w:val="auto"/>
          <w:sz w:val="24"/>
          <w:szCs w:val="24"/>
          <w:highlight w:val="none"/>
        </w:rPr>
      </w:pPr>
      <w:r>
        <w:rPr>
          <w:rFonts w:ascii="宋体" w:hAnsi="宋体" w:cs="宋体"/>
          <w:color w:val="auto"/>
          <w:sz w:val="24"/>
          <w:highlight w:val="none"/>
        </w:rPr>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、投标（响应）保证承诺书（参考格式）</w:t>
      </w:r>
      <w:r/>
    </w:p>
    <w:p>
      <w:pPr>
        <w:spacing w:line="360" w:lineRule="auto"/>
        <w:tabs>
          <w:tab w:val="left" w:pos="8930" w:leader="none"/>
          <w:tab w:val="left" w:pos="9306"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投标（响应）保证承诺书</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     （项目名称和采购编号）</w:t>
      </w:r>
      <w:r>
        <w:rPr>
          <w:rFonts w:hint="eastAsia" w:ascii="宋体" w:hAnsi="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投标（响应）人：（盖公章）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地址：</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电话：                   </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传真：</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电子邮件：                    </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邮编：</w:t>
      </w:r>
      <w:r/>
    </w:p>
    <w:p>
      <w:pPr>
        <w:spacing w:line="360" w:lineRule="auto"/>
        <w:tabs>
          <w:tab w:val="left" w:pos="8930" w:leader="none"/>
          <w:tab w:val="left" w:pos="9306" w:leader="none"/>
        </w:tabs>
        <w:rPr>
          <w:rFonts w:ascii="宋体" w:hAnsi="宋体" w:cs="宋体"/>
          <w:color w:val="auto"/>
          <w:sz w:val="24"/>
          <w:highlight w:val="none"/>
          <w:u w:val="single"/>
        </w:rPr>
      </w:pPr>
      <w:r>
        <w:rPr>
          <w:rFonts w:hint="eastAsia" w:ascii="宋体" w:hAnsi="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日期：</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、残疾人福利性单位声明函</w:t>
      </w:r>
      <w:r/>
    </w:p>
    <w:p>
      <w:pPr>
        <w:jc w:val="left"/>
        <w:spacing w:line="480" w:lineRule="atLeast"/>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供应商：（单位盖章）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rPr>
          <w:rStyle w:val="927"/>
          <w:rFonts w:ascii="宋体" w:hAnsi="宋体" w:cs="宋体"/>
          <w:b w:val="0"/>
          <w:bCs/>
          <w:color w:val="auto"/>
          <w:sz w:val="24"/>
          <w:highlight w:val="none"/>
        </w:rPr>
      </w:pPr>
      <w:r>
        <w:rPr>
          <w:rStyle w:val="927"/>
          <w:rFonts w:hint="eastAsia" w:ascii="宋体" w:hAnsi="宋体" w:cs="宋体"/>
          <w:b w:val="0"/>
          <w:bCs/>
          <w:color w:val="auto"/>
          <w:sz w:val="24"/>
          <w:highlight w:val="none"/>
        </w:rPr>
        <w:br w:type="page" w:clear="all"/>
      </w:r>
      <w:r/>
    </w:p>
    <w:p>
      <w:pPr>
        <w:jc w:val="left"/>
        <w:rPr>
          <w:rFonts w:ascii="宋体" w:hAnsi="宋体" w:cs="宋体"/>
          <w:bCs/>
          <w:color w:val="auto"/>
          <w:sz w:val="24"/>
          <w:highlight w:val="none"/>
        </w:rPr>
        <w:outlineLvl w:val="0"/>
      </w:pPr>
      <w:r>
        <w:rPr>
          <w:rStyle w:val="927"/>
          <w:rFonts w:hint="eastAsia" w:ascii="宋体" w:hAnsi="宋体" w:cs="宋体"/>
          <w:b w:val="0"/>
          <w:bCs/>
          <w:color w:val="auto"/>
          <w:sz w:val="24"/>
          <w:highlight w:val="none"/>
        </w:rPr>
        <w:t xml:space="preserve">1</w:t>
      </w:r>
      <w:r>
        <w:rPr>
          <w:rStyle w:val="927"/>
          <w:rFonts w:ascii="宋体" w:hAnsi="宋体" w:cs="宋体"/>
          <w:b w:val="0"/>
          <w:bCs/>
          <w:color w:val="auto"/>
          <w:sz w:val="24"/>
          <w:highlight w:val="none"/>
        </w:rPr>
        <w:t xml:space="preserve">5</w:t>
      </w:r>
      <w:r>
        <w:rPr>
          <w:rStyle w:val="927"/>
          <w:rFonts w:hint="eastAsia" w:ascii="宋体" w:hAnsi="宋体" w:cs="宋体"/>
          <w:b w:val="0"/>
          <w:bCs/>
          <w:color w:val="auto"/>
          <w:sz w:val="24"/>
          <w:highlight w:val="none"/>
        </w:rPr>
        <w:t xml:space="preserve">、</w:t>
      </w:r>
      <w:r>
        <w:rPr>
          <w:rFonts w:hint="eastAsia" w:ascii="宋体" w:hAnsi="宋体" w:cs="宋体"/>
          <w:bCs/>
          <w:color w:val="auto"/>
          <w:sz w:val="24"/>
          <w:highlight w:val="none"/>
        </w:rPr>
        <w:t xml:space="preserve">关于投标（响应）报价合理性的澄清说明（若项目涉及）</w:t>
      </w:r>
      <w:r/>
    </w:p>
    <w:p>
      <w:pPr>
        <w:ind w:firstLine="420"/>
        <w:jc w:val="cente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hint="eastAsia" w:ascii="宋体" w:hAnsi="宋体" w:cs="宋体"/>
          <w:bCs/>
          <w:color w:val="auto"/>
          <w:sz w:val="24"/>
          <w:highlight w:val="none"/>
        </w:rPr>
        <w:t xml:space="preserve">关于投标（响应）报价合理性的澄清说明</w:t>
      </w:r>
      <w:r/>
    </w:p>
    <w:p>
      <w:pPr>
        <w:jc w:val="left"/>
        <w:spacing w:line="360" w:lineRule="auto"/>
        <w:rPr>
          <w:rFonts w:ascii="宋体" w:hAnsi="宋体" w:cs="宋体"/>
          <w:bCs/>
          <w:color w:val="auto"/>
          <w:sz w:val="24"/>
          <w:highlight w:val="none"/>
          <w:u w:val="single"/>
        </w:rPr>
      </w:pPr>
      <w:r>
        <w:rPr>
          <w:rFonts w:ascii="宋体" w:hAnsi="宋体" w:cs="宋体"/>
          <w:bCs/>
          <w:color w:val="auto"/>
          <w:sz w:val="24"/>
          <w:highlight w:val="none"/>
          <w:u w:val="single"/>
        </w:rPr>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苏州睿乔招投标咨询服务有限公司</w:t>
      </w:r>
      <w:r>
        <w:rPr>
          <w:rFonts w:hint="eastAsia" w:ascii="宋体" w:hAnsi="宋体" w:cs="宋体"/>
          <w:color w:val="auto"/>
          <w:sz w:val="24"/>
          <w:highlight w:val="none"/>
        </w:rPr>
        <w:t xml:space="preserve">：</w:t>
      </w:r>
      <w:r/>
    </w:p>
    <w:p>
      <w:pPr>
        <w:pStyle w:val="712"/>
        <w:ind w:left="0"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本公司愿就由贵公司组织实施的编号为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号（项目编号）的招标活动进行投标，对于本公司的投标报价合理性作出说明如下：</w:t>
      </w:r>
      <w:r/>
    </w:p>
    <w:tbl>
      <w:tblPr>
        <w:tblStyle w:val="7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cs="宋体"/>
                <w:b/>
                <w:color w:val="auto"/>
                <w:sz w:val="24"/>
                <w:highlight w:val="none"/>
                <w:shd w:val="pct10" w:color="auto" w:fill="ffffff"/>
              </w:rPr>
            </w:pPr>
            <w:r>
              <w:rPr>
                <w:rFonts w:hint="eastAsia" w:ascii="宋体" w:hAnsi="宋体" w:cs="宋体"/>
                <w:b/>
                <w:color w:val="auto"/>
                <w:sz w:val="24"/>
                <w:highlight w:val="none"/>
              </w:rPr>
              <w:t xml:space="preserve">投标人应当根据实际情况自拟答复并根据评标委员会关于澄清的要求提供相关证明材料作为附件。</w:t>
            </w:r>
            <w:r/>
          </w:p>
        </w:tc>
      </w:tr>
    </w:tbl>
    <w:p>
      <w:pPr>
        <w:ind w:firstLine="422"/>
        <w:spacing w:line="360" w:lineRule="auto"/>
        <w:rPr>
          <w:rFonts w:ascii="宋体" w:hAnsi="宋体" w:cs="宋体"/>
          <w:b/>
          <w:color w:val="auto"/>
          <w:sz w:val="24"/>
          <w:highlight w:val="none"/>
          <w:lang w:val="zh-CN"/>
        </w:rPr>
      </w:pPr>
      <w:r/>
      <w:bookmarkStart w:id="48" w:name="OLE_LINK23"/>
      <w:r/>
      <w:bookmarkStart w:id="49" w:name="OLE_LINK21"/>
      <w:r/>
      <w:bookmarkStart w:id="50" w:name="OLE_LINK24"/>
      <w:r>
        <w:rPr>
          <w:rFonts w:hint="eastAsia" w:ascii="宋体" w:hAnsi="宋体" w:cs="宋体"/>
          <w:b/>
          <w:color w:val="auto"/>
          <w:sz w:val="24"/>
          <w:highlight w:val="none"/>
          <w:lang w:val="zh-CN"/>
        </w:rPr>
        <w:t xml:space="preserve">备注:根据招标（</w:t>
      </w:r>
      <w:r>
        <w:rPr>
          <w:rFonts w:hint="eastAsia" w:ascii="宋体" w:hAnsi="宋体" w:cs="宋体"/>
          <w:b/>
          <w:color w:val="auto"/>
          <w:sz w:val="24"/>
          <w:highlight w:val="none"/>
        </w:rPr>
        <w:t xml:space="preserve">采购）</w:t>
      </w:r>
      <w:r>
        <w:rPr>
          <w:rFonts w:hint="eastAsia" w:ascii="宋体" w:hAnsi="宋体" w:cs="宋体"/>
          <w:b/>
          <w:color w:val="auto"/>
          <w:sz w:val="24"/>
          <w:highlight w:val="none"/>
          <w:lang w:val="zh-CN"/>
        </w:rPr>
        <w:t xml:space="preserve">文件第二章“投标人须知”第25.6条要求，在评标过程中当出现投标</w:t>
      </w:r>
      <w:r>
        <w:rPr>
          <w:rFonts w:hint="eastAsia" w:ascii="宋体" w:hAnsi="宋体" w:cs="宋体"/>
          <w:b/>
          <w:color w:val="auto"/>
          <w:sz w:val="24"/>
          <w:highlight w:val="none"/>
        </w:rPr>
        <w:t xml:space="preserve">（响应）</w:t>
      </w:r>
      <w:r>
        <w:rPr>
          <w:rFonts w:hint="eastAsia" w:ascii="宋体" w:hAnsi="宋体" w:cs="宋体"/>
          <w:b/>
          <w:color w:val="auto"/>
          <w:sz w:val="24"/>
          <w:highlight w:val="none"/>
          <w:lang w:val="zh-CN"/>
        </w:rPr>
        <w:t xml:space="preserve">报价低于采购项目预算50%或者投标</w:t>
      </w:r>
      <w:r>
        <w:rPr>
          <w:rFonts w:hint="eastAsia" w:ascii="宋体" w:hAnsi="宋体" w:cs="宋体"/>
          <w:b/>
          <w:color w:val="auto"/>
          <w:sz w:val="24"/>
          <w:highlight w:val="none"/>
        </w:rPr>
        <w:t xml:space="preserve">（响应）</w:t>
      </w:r>
      <w:r>
        <w:rPr>
          <w:rFonts w:hint="eastAsia" w:ascii="宋体" w:hAnsi="宋体" w:cs="宋体"/>
          <w:b/>
          <w:color w:val="auto"/>
          <w:sz w:val="24"/>
          <w:highlight w:val="none"/>
          <w:lang w:val="zh-CN"/>
        </w:rPr>
        <w:t xml:space="preserve">报价低于采购项目最高限价45%或者评标委员会认定的供应商报价过低、有可能影响产品质量或者不能诚信履约的其他情形时,评标委员会应当启动异常低价投标审查程序。评标委员会应当要求投标</w:t>
      </w:r>
      <w:r>
        <w:rPr>
          <w:rFonts w:hint="eastAsia" w:ascii="宋体" w:hAnsi="宋体" w:cs="宋体"/>
          <w:b/>
          <w:color w:val="auto"/>
          <w:sz w:val="24"/>
          <w:highlight w:val="none"/>
        </w:rPr>
        <w:t xml:space="preserve">（响应）</w:t>
      </w:r>
      <w:r>
        <w:rPr>
          <w:rFonts w:hint="eastAsia" w:ascii="宋体" w:hAnsi="宋体" w:cs="宋体"/>
          <w:b/>
          <w:color w:val="auto"/>
          <w:sz w:val="24"/>
          <w:highlight w:val="none"/>
          <w:lang w:val="zh-CN"/>
        </w:rPr>
        <w:t xml:space="preserve">人出具书面说明及必要的证明材料，对投标</w:t>
      </w:r>
      <w:r>
        <w:rPr>
          <w:rFonts w:hint="eastAsia" w:ascii="宋体" w:hAnsi="宋体" w:cs="宋体"/>
          <w:b/>
          <w:color w:val="auto"/>
          <w:sz w:val="24"/>
          <w:highlight w:val="none"/>
        </w:rPr>
        <w:t xml:space="preserve">（响应）</w:t>
      </w:r>
      <w:r>
        <w:rPr>
          <w:rFonts w:hint="eastAsia" w:ascii="宋体" w:hAnsi="宋体" w:cs="宋体"/>
          <w:b/>
          <w:color w:val="auto"/>
          <w:sz w:val="24"/>
          <w:highlight w:val="none"/>
          <w:lang w:val="zh-CN"/>
        </w:rPr>
        <w:t xml:space="preserve">价格作出解释。书面说明、证明材料主要是项目具体成本测算等与报价合理性相关的说明、材料（例如进货合同及发票、往期类似项目合同报价清单、库存清单、仓库照片等，最终以评标委员会具体要求为准）。投标</w:t>
      </w:r>
      <w:r>
        <w:rPr>
          <w:rFonts w:hint="eastAsia" w:ascii="宋体" w:hAnsi="宋体" w:cs="宋体"/>
          <w:b/>
          <w:color w:val="auto"/>
          <w:sz w:val="24"/>
          <w:highlight w:val="none"/>
        </w:rPr>
        <w:t xml:space="preserve">（响应）</w:t>
      </w:r>
      <w:r>
        <w:rPr>
          <w:rFonts w:hint="eastAsia" w:ascii="宋体" w:hAnsi="宋体" w:cs="宋体"/>
          <w:b/>
          <w:color w:val="auto"/>
          <w:sz w:val="24"/>
          <w:highlight w:val="none"/>
          <w:lang w:val="zh-CN"/>
        </w:rPr>
        <w:t xml:space="preserve">人不能证明其报价合理性的，评标委员会应当将其作为无效投标</w:t>
      </w:r>
      <w:r>
        <w:rPr>
          <w:rFonts w:hint="eastAsia" w:ascii="宋体" w:hAnsi="宋体" w:cs="宋体"/>
          <w:b/>
          <w:color w:val="auto"/>
          <w:sz w:val="24"/>
          <w:highlight w:val="none"/>
        </w:rPr>
        <w:t xml:space="preserve">（响应）</w:t>
      </w:r>
      <w:r>
        <w:rPr>
          <w:rFonts w:hint="eastAsia" w:ascii="宋体" w:hAnsi="宋体" w:cs="宋体"/>
          <w:b/>
          <w:color w:val="auto"/>
          <w:sz w:val="24"/>
          <w:highlight w:val="none"/>
          <w:lang w:val="zh-CN"/>
        </w:rPr>
        <w:t xml:space="preserve">处理。</w:t>
      </w:r>
      <w:bookmarkEnd w:id="48"/>
      <w:r/>
      <w:bookmarkEnd w:id="49"/>
      <w:r/>
      <w:bookmarkEnd w:id="50"/>
      <w:r/>
      <w:r/>
    </w:p>
    <w:p>
      <w:pPr>
        <w:ind w:firstLine="483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30"/>
        <w:jc w:val="lef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投标人：（单位盖章）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Style w:val="927"/>
          <w:rFonts w:ascii="宋体" w:hAnsi="宋体" w:cs="宋体"/>
          <w:b w:val="0"/>
          <w:bCs/>
          <w:color w:val="auto"/>
          <w:sz w:val="36"/>
          <w:szCs w:val="36"/>
          <w:highlight w:val="none"/>
        </w:rPr>
      </w:pPr>
      <w:r>
        <w:rPr>
          <w:rStyle w:val="927"/>
          <w:rFonts w:hint="eastAsia" w:ascii="宋体" w:hAnsi="宋体" w:cs="宋体"/>
          <w:b w:val="0"/>
          <w:bCs/>
          <w:color w:val="auto"/>
          <w:sz w:val="36"/>
          <w:szCs w:val="36"/>
          <w:highlight w:val="none"/>
        </w:rPr>
        <w:br w:type="page" w:clear="all"/>
      </w:r>
      <w:r/>
    </w:p>
    <w:p>
      <w:pPr>
        <w:pStyle w:val="957"/>
        <w:jc w:val="center"/>
        <w:spacing w:before="75" w:beforeAutospacing="0" w:after="75" w:afterAutospacing="0"/>
        <w:widowControl/>
        <w:rPr>
          <w:rStyle w:val="927"/>
          <w:rFonts w:ascii="宋体" w:hAnsi="宋体" w:cs="宋体"/>
          <w:b w:val="0"/>
          <w:bCs/>
          <w:color w:val="auto"/>
          <w:sz w:val="36"/>
          <w:szCs w:val="36"/>
          <w:highlight w:val="none"/>
        </w:rPr>
      </w:pPr>
      <w:r>
        <w:rPr>
          <w:rStyle w:val="927"/>
          <w:rFonts w:hint="eastAsia" w:ascii="宋体" w:hAnsi="宋体" w:cs="宋体"/>
          <w:b w:val="0"/>
          <w:bCs/>
          <w:color w:val="auto"/>
          <w:sz w:val="36"/>
          <w:szCs w:val="36"/>
          <w:highlight w:val="none"/>
        </w:rPr>
        <w:t xml:space="preserve">第四章 招标书</w:t>
      </w:r>
      <w:r/>
    </w:p>
    <w:p>
      <w:pPr>
        <w:pStyle w:val="955"/>
        <w:spacing w:line="360" w:lineRule="auto"/>
        <w:rPr>
          <w:rFonts w:ascii="宋体" w:hAnsi="宋体" w:cs="宋体"/>
          <w:color w:val="auto"/>
          <w:highlight w:val="none"/>
        </w:rPr>
      </w:pPr>
      <w:r>
        <w:rPr>
          <w:rFonts w:hint="eastAsia" w:ascii="宋体" w:hAnsi="宋体" w:cs="宋体"/>
          <w:bCs/>
          <w:color w:val="auto"/>
          <w:highlight w:val="none"/>
        </w:rPr>
        <w:t xml:space="preserve">苏州睿乔招投标咨询服务有限公司</w:t>
      </w:r>
      <w:r>
        <w:rPr>
          <w:rFonts w:hint="eastAsia" w:ascii="宋体" w:hAnsi="宋体" w:cs="宋体"/>
          <w:color w:val="auto"/>
          <w:highlight w:val="none"/>
        </w:rPr>
        <w:t xml:space="preserve">受</w:t>
      </w:r>
      <w:r>
        <w:rPr>
          <w:rFonts w:hint="eastAsia" w:ascii="宋体" w:hAnsi="宋体" w:cs="宋体"/>
          <w:bCs/>
          <w:color w:val="auto"/>
          <w:highlight w:val="none"/>
        </w:rPr>
        <w:t xml:space="preserve">苏州市市政设施管理处</w:t>
      </w:r>
      <w:r>
        <w:rPr>
          <w:rFonts w:hint="eastAsia" w:ascii="宋体" w:hAnsi="宋体" w:cs="宋体"/>
          <w:color w:val="auto"/>
          <w:highlight w:val="none"/>
        </w:rPr>
        <w:t xml:space="preserve">的委托，就</w:t>
      </w:r>
      <w:r>
        <w:rPr>
          <w:rFonts w:hint="eastAsia" w:ascii="宋体" w:hAnsi="宋体" w:cs="宋体"/>
          <w:bCs/>
          <w:color w:val="auto"/>
          <w:highlight w:val="none"/>
        </w:rPr>
        <w:t xml:space="preserve">2026-2027年度市政设施维护服务项目（高架）</w:t>
      </w:r>
      <w:r>
        <w:rPr>
          <w:rFonts w:hint="eastAsia" w:ascii="宋体" w:hAnsi="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JSZC-320508-SZRQ-G2025-0031</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二、招标项目：</w:t>
      </w:r>
      <w:r>
        <w:rPr>
          <w:rFonts w:hint="eastAsia" w:ascii="宋体" w:hAnsi="宋体" w:cs="宋体"/>
          <w:bCs/>
          <w:color w:val="auto"/>
          <w:sz w:val="24"/>
          <w:highlight w:val="none"/>
        </w:rPr>
        <w:t xml:space="preserve">2026-2027年度市政设施维护服务项目（高架）</w:t>
      </w:r>
      <w:r/>
    </w:p>
    <w:p>
      <w:pPr>
        <w:pStyle w:val="723"/>
        <w:ind w:left="0" w:firstLine="480"/>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采购预算：</w:t>
      </w:r>
      <w:bookmarkStart w:id="51" w:name="OLE_LINK4"/>
      <w:r>
        <w:rPr>
          <w:rFonts w:hint="eastAsia" w:ascii="宋体" w:hAnsi="宋体" w:eastAsia="宋体" w:cs="宋体"/>
          <w:color w:val="auto"/>
          <w:sz w:val="24"/>
          <w:highlight w:val="none"/>
        </w:rPr>
        <w:t xml:space="preserve">叁仟万元整（￥30000000.00）</w:t>
      </w:r>
      <w:bookmarkEnd w:id="51"/>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最高限价：贰仟玖佰玖拾玖万玖仟玖佰伍拾陆元陆角捌分（￥29999956.68）；报价不得超过此最高限价，超过为无效标。</w:t>
      </w:r>
      <w:r/>
    </w:p>
    <w:p>
      <w:pPr>
        <w:pStyle w:val="723"/>
        <w:ind w:left="0" w:firstLine="480"/>
        <w:spacing w:after="0" w:line="360" w:lineRule="auto"/>
        <w:rPr>
          <w:rFonts w:ascii="宋体" w:hAnsi="宋体" w:eastAsia="宋体" w:cs="宋体"/>
          <w:color w:val="auto"/>
          <w:sz w:val="24"/>
          <w:highlight w:val="none"/>
        </w:rPr>
      </w:pPr>
      <w:r/>
      <w:bookmarkStart w:id="52" w:name="_Hlk214911496"/>
      <w:r>
        <w:rPr>
          <w:rFonts w:hint="eastAsia" w:ascii="宋体" w:hAnsi="宋体" w:eastAsia="宋体" w:cs="宋体"/>
          <w:color w:val="auto"/>
          <w:sz w:val="24"/>
          <w:highlight w:val="none"/>
        </w:rPr>
        <w:t xml:space="preserve">服务期限：2026年1月1日至2027年12月31日。</w:t>
      </w:r>
      <w:bookmarkStart w:id="53" w:name="_Hlk214911522"/>
      <w:r>
        <w:rPr>
          <w:rFonts w:hint="eastAsia" w:ascii="宋体" w:hAnsi="宋体" w:eastAsia="宋体" w:cs="宋体"/>
          <w:color w:val="auto"/>
          <w:sz w:val="24"/>
          <w:highlight w:val="none"/>
        </w:rPr>
        <w:t xml:space="preserve">（具体起始时间按采购方通知为准）</w:t>
      </w:r>
      <w:bookmarkEnd w:id="52"/>
      <w:r/>
      <w:bookmarkEnd w:id="53"/>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三、招标项目内容：</w:t>
      </w:r>
      <w:r/>
    </w:p>
    <w:p>
      <w:pPr>
        <w:ind w:firstLine="482"/>
        <w:spacing w:line="360" w:lineRule="auto"/>
        <w:rPr>
          <w:rStyle w:val="737"/>
          <w:rFonts w:ascii="宋体" w:hAnsi="宋体" w:cs="宋体"/>
          <w:color w:val="auto"/>
          <w:sz w:val="24"/>
          <w:highlight w:val="none"/>
        </w:rPr>
      </w:pPr>
      <w:r/>
      <w:bookmarkStart w:id="54" w:name="_Toc5922"/>
      <w:r>
        <w:rPr>
          <w:rFonts w:hint="eastAsia" w:ascii="宋体" w:hAnsi="宋体" w:cs="宋体"/>
          <w:b/>
          <w:bCs/>
          <w:color w:val="auto"/>
          <w:sz w:val="24"/>
          <w:highlight w:val="none"/>
        </w:rPr>
        <w:t xml:space="preserve">（一）项目概况   </w:t>
      </w:r>
      <w:r/>
    </w:p>
    <w:p>
      <w:pPr>
        <w:ind w:firstLine="480"/>
        <w:spacing w:line="360" w:lineRule="auto"/>
        <w:rPr>
          <w:rFonts w:ascii="宋体" w:hAnsi="宋体" w:cs="宋体"/>
          <w:color w:val="auto"/>
          <w:sz w:val="24"/>
          <w:highlight w:val="none"/>
        </w:rPr>
      </w:pPr>
      <w:r/>
      <w:bookmarkStart w:id="55" w:name="OLE_LINK20"/>
      <w:r/>
      <w:bookmarkStart w:id="56" w:name="OLE_LINK19"/>
      <w:r>
        <w:rPr>
          <w:rFonts w:hint="eastAsia" w:ascii="宋体" w:hAnsi="宋体" w:cs="宋体"/>
          <w:color w:val="auto"/>
          <w:sz w:val="24"/>
          <w:highlight w:val="none"/>
        </w:rPr>
        <w:t xml:space="preserve">2026-2027年度市政设施维护服务项目（高架）位于苏州市姑苏区。服务内容包括苏州市市政设施管理处管养的南环高架、西环高架、友新高架、新庄立交、东南环立交、金门路跨线桥、广济北路跨线桥等，总长度约103千米，总面积约144万平方米。工作内容包括服务期限内对服务对象进行日常巡视，针对不同损坏程度、病害情况进行相适应的零星维护或者专项维护及应急抢险等维护管理相关工作。</w:t>
      </w:r>
      <w:bookmarkEnd w:id="55"/>
      <w:r/>
      <w:bookmarkEnd w:id="56"/>
      <w:r/>
      <w:r/>
    </w:p>
    <w:p>
      <w:pPr>
        <w:ind w:firstLine="480"/>
        <w:spacing w:line="360" w:lineRule="auto"/>
        <w:rPr>
          <w:b/>
          <w:color w:val="auto"/>
          <w:highlight w:val="none"/>
        </w:rPr>
      </w:pPr>
      <w:r>
        <w:rPr>
          <w:rFonts w:hint="eastAsia" w:ascii="宋体" w:hAnsi="宋体" w:cs="宋体"/>
          <w:color w:val="auto"/>
          <w:sz w:val="24"/>
          <w:highlight w:val="none"/>
        </w:rPr>
        <w:t xml:space="preserve">清单内容：</w:t>
      </w:r>
      <w:r/>
    </w:p>
    <w:tbl>
      <w:tblPr>
        <w:tblStyle w:val="70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8"/>
        <w:gridCol w:w="822"/>
        <w:gridCol w:w="4329"/>
        <w:gridCol w:w="619"/>
        <w:gridCol w:w="641"/>
        <w:gridCol w:w="1004"/>
        <w:gridCol w:w="1369"/>
      </w:tblGrid>
      <w:tr>
        <w:trPr>
          <w:trHeight w:val="468"/>
        </w:trPr>
        <w:tc>
          <w:tcPr>
            <w:tcMar>
              <w:left w:w="15" w:type="dxa"/>
              <w:top w:w="15" w:type="dxa"/>
              <w:right w:w="15" w:type="dxa"/>
            </w:tcMar>
            <w:tcW w:w="618" w:type="dxa"/>
            <w:vAlign w:val="center"/>
            <w:vMerge w:val="restart"/>
            <w:textDirection w:val="lrTb"/>
            <w:noWrap w:val="false"/>
          </w:tcPr>
          <w:p>
            <w:pPr>
              <w:jc w:val="center"/>
              <w:spacing w:line="360" w:lineRule="auto"/>
              <w:rPr>
                <w:rFonts w:ascii="宋体" w:hAnsi="宋体" w:cs="宋体"/>
                <w:color w:val="auto"/>
                <w:sz w:val="24"/>
                <w:highlight w:val="none"/>
              </w:rPr>
            </w:pPr>
            <w:r/>
            <w:bookmarkStart w:id="57" w:name="OLE_LINK14"/>
            <w:r>
              <w:rPr>
                <w:rFonts w:hint="eastAsia" w:ascii="宋体" w:hAnsi="宋体" w:cs="宋体"/>
                <w:color w:val="auto"/>
                <w:sz w:val="24"/>
                <w:highlight w:val="none"/>
              </w:rPr>
              <w:t xml:space="preserve">序号</w:t>
            </w:r>
            <w:r/>
          </w:p>
        </w:tc>
        <w:tc>
          <w:tcPr>
            <w:tcMar>
              <w:left w:w="15" w:type="dxa"/>
              <w:top w:w="15" w:type="dxa"/>
              <w:right w:w="15" w:type="dxa"/>
            </w:tcMar>
            <w:tcW w:w="822"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Mar>
              <w:left w:w="15" w:type="dxa"/>
              <w:top w:w="15" w:type="dxa"/>
              <w:right w:w="15" w:type="dxa"/>
            </w:tcMar>
            <w:tcW w:w="4329"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项目描述</w:t>
            </w:r>
            <w:r/>
          </w:p>
        </w:tc>
        <w:tc>
          <w:tcPr>
            <w:tcMar>
              <w:left w:w="15" w:type="dxa"/>
              <w:top w:w="15" w:type="dxa"/>
              <w:right w:w="15" w:type="dxa"/>
            </w:tcMar>
            <w:tcW w:w="619"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计量</w:t>
            </w:r>
            <w:r>
              <w:rPr>
                <w:rFonts w:hint="eastAsia" w:ascii="宋体" w:hAnsi="宋体" w:cs="宋体"/>
                <w:color w:val="auto"/>
                <w:sz w:val="24"/>
                <w:highlight w:val="none"/>
              </w:rPr>
              <w:br/>
            </w:r>
            <w:r>
              <w:rPr>
                <w:rFonts w:hint="eastAsia" w:ascii="宋体" w:hAnsi="宋体" w:cs="宋体"/>
                <w:color w:val="auto"/>
                <w:sz w:val="24"/>
                <w:highlight w:val="none"/>
              </w:rPr>
              <w:t xml:space="preserve">单位</w:t>
            </w:r>
            <w:r/>
          </w:p>
        </w:tc>
        <w:tc>
          <w:tcPr>
            <w:tcMar>
              <w:left w:w="15" w:type="dxa"/>
              <w:top w:w="15" w:type="dxa"/>
              <w:right w:w="15" w:type="dxa"/>
            </w:tcMar>
            <w:tcW w:w="641"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工作量</w:t>
            </w:r>
            <w:r/>
          </w:p>
        </w:tc>
        <w:tc>
          <w:tcPr>
            <w:tcMar>
              <w:left w:w="15" w:type="dxa"/>
              <w:top w:w="15" w:type="dxa"/>
              <w:right w:w="15" w:type="dxa"/>
            </w:tcMar>
            <w:tcW w:w="1004"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单价最高限价</w:t>
            </w:r>
            <w:r/>
          </w:p>
        </w:tc>
        <w:tc>
          <w:tcPr>
            <w:tcMar>
              <w:left w:w="15" w:type="dxa"/>
              <w:top w:w="15" w:type="dxa"/>
              <w:right w:w="15" w:type="dxa"/>
            </w:tcMar>
            <w:tcW w:w="1369"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合价最高限价</w:t>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第一部分 巡视</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20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日常巡视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1、巡视里程约101公里</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2、工作量计算规则：以月为单位，费用充分考虑，包干使用</w:t>
            </w:r>
            <w:r>
              <w:rPr>
                <w:rFonts w:hint="eastAsia" w:ascii="宋体" w:hAnsi="宋体" w:cs="宋体"/>
                <w:color w:val="auto"/>
                <w:sz w:val="24"/>
                <w:highlight w:val="none"/>
              </w:rPr>
              <w:br/>
            </w:r>
            <w:r>
              <w:rPr>
                <w:rFonts w:hint="eastAsia" w:ascii="宋体" w:hAnsi="宋体" w:cs="宋体"/>
                <w:color w:val="auto"/>
                <w:sz w:val="24"/>
                <w:highlight w:val="none"/>
              </w:rPr>
              <w:t xml:space="preserve">3、巡视周期按招标文件要求，满足招标人考核要求</w:t>
            </w:r>
            <w:r/>
          </w:p>
          <w:p>
            <w:pPr>
              <w:pStyle w:val="704"/>
              <w:jc w:val="center"/>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、需配合采购人进行相关系统的录入工作</w:t>
            </w:r>
            <w:r/>
          </w:p>
          <w:p>
            <w:pPr>
              <w:pStyle w:val="704"/>
              <w:jc w:val="center"/>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、其他说明：设施量如有增减，该价格不调整</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34599.13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830379.12</w:t>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第二部分 零星维护</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伸缩缝混凝土维修</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1.工作内容:拆除损坏部位混凝土，浇筑C40钢纤维砼等,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2.工作量计算规则:按体积以“立方米”计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m3</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2555.4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12777</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钢扶手拆除</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1、工作内容:拆除现状扶手、底座,清理现场，拆除料外运弃置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桥梁GQF-C-120型钢伸缩缝重建</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1、工作内容:锯缝，拆除原有伸缩缝，废料弃置，钢筋制作、安装，更换新购伸缩缝，型钢的制作、安装，嵌橡胶条，浇筑C40钢纤维砼等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1730.2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34604</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桥梁GQF-C-160型钢伸缩缝重建</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1、工作内容:锯缝，拆除原有伸缩缝，废料弃置，钢筋制作、安装，更换新购伸缩缝，型钢的制作、安装，嵌橡胶条，浇筑C40钢纤维砼等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2002.78</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20027.8</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桥梁GQF-C-240型钢伸缩缝重建</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1、工作内容:锯缝，拆除原有伸缩缝，废料弃置，钢筋制作、安装，更换新购伸缩缝，型钢的制作、安装，嵌橡胶条，浇筑C40钢纤维砼等</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4796.75</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23983.75</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梳齿板固定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1、工作内容：拆除原伸缩缝松散、损坏混凝土，调整伸缩缝构件、钢筋加固、重新浇筑混凝土</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1416.89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14168.9</w:t>
            </w:r>
            <w:r/>
          </w:p>
        </w:tc>
      </w:tr>
      <w:tr>
        <w:trPr>
          <w:trHeight w:val="27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梳齿板更换安装</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1.工作内容:混凝土维修，安装梳齿板，种植锚栓，立模布设钢筋网，安装钢板，混凝土过渡带维修，橡胶止水带的更换，环氧砂浆浇筑。</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5171.01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25855.05</w:t>
            </w:r>
            <w:r/>
          </w:p>
        </w:tc>
      </w:tr>
      <w:tr>
        <w:trPr>
          <w:trHeight w:val="22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223.43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111715</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136.01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136010</w:t>
            </w:r>
            <w:r/>
          </w:p>
        </w:tc>
      </w:tr>
      <w:tr>
        <w:trPr>
          <w:trHeight w:val="837"/>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241.36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24136</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140.73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70365</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落水管更换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1、维护方式：落水管安装，含管箍，弯头、三通等管件等，不含登高费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94.47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37788</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落水管维修</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1、维护方式：原材料能继续使用，仅重新固定PVC排水管及弯头，漏斗等，不含登高费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57.97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57970</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泄水井疏通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1、维护方式：进水口清理，不含登高费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2、工作量计算规则：按数量以“座”计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座</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7.53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301200</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管道卡箍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1、维护方式：拆除原损坏卡箍，更换新管代卡箍，不含登高费（仅单独更换卡箍）</w:t>
            </w:r>
            <w:r>
              <w:rPr>
                <w:rFonts w:hint="eastAsia" w:ascii="宋体" w:hAnsi="宋体" w:cs="宋体"/>
                <w:color w:val="auto"/>
                <w:sz w:val="24"/>
                <w:highlight w:val="none"/>
              </w:rPr>
              <w:br/>
            </w:r>
            <w:r>
              <w:rPr>
                <w:rFonts w:hint="eastAsia" w:ascii="宋体" w:hAnsi="宋体" w:cs="宋体"/>
                <w:color w:val="auto"/>
                <w:sz w:val="24"/>
                <w:highlight w:val="none"/>
              </w:rPr>
              <w:t xml:space="preserve">2、卡箍规格、材质：不锈钢卡箍，管径DN110</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13.49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2023.5</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管道三通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1、维护方式：拆除原损坏管件，更换新管道三通，不含登高费（仅单独更换管件）</w:t>
            </w:r>
            <w:r>
              <w:rPr>
                <w:rFonts w:hint="eastAsia" w:ascii="宋体" w:hAnsi="宋体" w:cs="宋体"/>
                <w:color w:val="auto"/>
                <w:sz w:val="24"/>
                <w:highlight w:val="none"/>
              </w:rPr>
              <w:br/>
            </w:r>
            <w:r>
              <w:rPr>
                <w:rFonts w:hint="eastAsia" w:ascii="宋体" w:hAnsi="宋体" w:cs="宋体"/>
                <w:color w:val="auto"/>
                <w:sz w:val="24"/>
                <w:highlight w:val="none"/>
              </w:rPr>
              <w:t xml:space="preserve">2、卡箍规格、材质：管径DN110三通</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56.12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448.96</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调换进水口盖板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1、工作内容：调换进水口盖板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362.13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181065</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伸缩缝挡板(内挡板）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1、材质：304不锈钢,1100*400*2不锈钢板，不锈钢螺栓固定</w:t>
            </w:r>
            <w:r>
              <w:rPr>
                <w:rFonts w:hint="eastAsia" w:ascii="宋体" w:hAnsi="宋体" w:cs="宋体"/>
                <w:color w:val="auto"/>
                <w:sz w:val="24"/>
                <w:highlight w:val="none"/>
              </w:rPr>
              <w:br/>
            </w:r>
            <w:r>
              <w:rPr>
                <w:rFonts w:hint="eastAsia" w:ascii="宋体" w:hAnsi="宋体" w:cs="宋体"/>
                <w:color w:val="auto"/>
                <w:sz w:val="24"/>
                <w:highlight w:val="none"/>
              </w:rPr>
              <w:t xml:space="preserve">2、工作内容：拆除原挡板，清理现场，安装新购挡板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282.27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282270</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伸缩缝挡板(外挡板）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1、材质：304不锈钢,1500*400*2不锈钢板，不锈钢螺栓固定</w:t>
            </w:r>
            <w:r>
              <w:rPr>
                <w:rFonts w:hint="eastAsia" w:ascii="宋体" w:hAnsi="宋体" w:cs="宋体"/>
                <w:color w:val="auto"/>
                <w:sz w:val="24"/>
                <w:highlight w:val="none"/>
              </w:rPr>
              <w:br/>
            </w:r>
            <w:r>
              <w:rPr>
                <w:rFonts w:hint="eastAsia" w:ascii="宋体" w:hAnsi="宋体" w:cs="宋体"/>
                <w:color w:val="auto"/>
                <w:sz w:val="24"/>
                <w:highlight w:val="none"/>
              </w:rPr>
              <w:t xml:space="preserve">2、工作内容：拆除原挡板，清理现场，安装新购挡板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384.72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307776</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盆式支座防腐</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1、工艺：支座除锈，底漆一遍，氟碳面漆两遍</w:t>
            </w:r>
            <w:r>
              <w:rPr>
                <w:rFonts w:hint="eastAsia" w:ascii="宋体" w:hAnsi="宋体" w:cs="宋体"/>
                <w:color w:val="auto"/>
                <w:sz w:val="24"/>
                <w:highlight w:val="none"/>
              </w:rPr>
              <w:br/>
            </w:r>
            <w:r>
              <w:rPr>
                <w:rFonts w:hint="eastAsia" w:ascii="宋体" w:hAnsi="宋体" w:cs="宋体"/>
                <w:color w:val="auto"/>
                <w:sz w:val="24"/>
                <w:highlight w:val="none"/>
              </w:rPr>
              <w:t xml:space="preserve">2、相关说明：登高费另计</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58.41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5256.9</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＜0.2mm裂缝封闭</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1、工作内容:沿缝打磨、封闭裂缝，登高费另计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59.14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1182.8</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≥0.2mm裂缝注胶</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1、工作内容:沿缝打磨、安置胶嘴、封闭裂缝、灌注裂缝胶等，不含登高费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194.77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1947.7</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声屏障亚克力板更换（库存料）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1、工作内容:拆除破旧亚克力板，更换安装库存10mm厚亚克力板，含拆除、运输、拆除料外运弃置，采用库存料，含出库，运输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104.93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2098.6</w:t>
            </w:r>
            <w:r/>
          </w:p>
        </w:tc>
      </w:tr>
      <w:tr>
        <w:trPr>
          <w:trHeight w:val="418"/>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1、工作内容:拆除破吸音板，更换库存吸音板，含拆除、运输、拆除料外运弃置；采用库存料，含出库、运输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2、吸音板：面板铝板1.2mm，背板镀锌板1.2mm</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104.93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5246.5</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32.02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4803</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1、工作内容:拆除声屏障钢立柱，重新安装钢立柱，含拆除、运输、拆除料外运弃置，采用库存料，含出库、运输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2、立柱规格：H=3000mm立柱，库存料</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667.35</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10010.25</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声屏障钢立柱更换（库存料）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1、工作内容:拆除声屏障钢立柱，重新安装钢立柱，含拆除、运输、拆除料外运弃置，采用库存料，含出库、运输</w:t>
            </w:r>
            <w:r>
              <w:rPr>
                <w:rFonts w:hint="eastAsia" w:ascii="宋体" w:hAnsi="宋体" w:cs="宋体"/>
                <w:color w:val="auto"/>
                <w:sz w:val="24"/>
                <w:highlight w:val="none"/>
              </w:rPr>
              <w:br/>
            </w:r>
            <w:r>
              <w:rPr>
                <w:rFonts w:hint="eastAsia" w:ascii="宋体" w:hAnsi="宋体" w:cs="宋体"/>
                <w:color w:val="auto"/>
                <w:sz w:val="24"/>
                <w:highlight w:val="none"/>
              </w:rPr>
              <w:t xml:space="preserve">2、立柱规格：H=3500mm立柱，库存料</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775.71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38785.5</w:t>
            </w:r>
            <w:r/>
          </w:p>
        </w:tc>
      </w:tr>
      <w:tr>
        <w:trPr>
          <w:trHeight w:val="2292"/>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1、工作内容:拆除破吸音板，更换吸音板，含拆除、运输弃置拆除料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2、声屏障材质：吸音板：面板采用优质铝合金穿孔板，厚度1.2mm，开孔率≥25％，开孔样式与高架现有款式保持一致或由采购人确定。背板及龙骨均采用优质镀锌钢板，板厚1.2mm, 龙骨1.5mm，内部采用离心法生产的48 kg/m3玻璃棉板外裹无碱憎水布。表面氟碳喷涂防腐处理（氟碳喷涂为烘烤型），穿孔面板双面喷涂，背板单面喷涂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752.23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376115</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声屏障亚克力透明屏更换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1、工作内容:拆除亚克力透明屏，更换亚克力透明屏，含拆除、运输弃置拆除料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2、声屏障材质：透明隔声屏体为厚度10mm亚克力板、外包厚铝合金边框</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945.54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236385</w:t>
            </w:r>
            <w:r/>
          </w:p>
        </w:tc>
      </w:tr>
      <w:tr>
        <w:trPr>
          <w:trHeight w:val="204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1、工作内容:拆除钢立柱，更换钢立柱，含拆除、运输弃置拆除料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H型钢，立柱高3000mm,Q235B钢立柱；桥梁伸缩缝处两端则采用相邻两侧钢立柱翼板加宽，通过预埋件与基础（防撞墙）连接，钢立柱整体构件防锈保护须采用热镀锌及氟炭喷涂处理（氟碳喷涂为烘烤型）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2252.29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157660.3</w:t>
            </w:r>
            <w:r/>
          </w:p>
        </w:tc>
      </w:tr>
      <w:tr>
        <w:trPr>
          <w:trHeight w:val="1262"/>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1、工作内容:拆除钢立柱，更换钢立柱，含拆除、运输弃置拆除料</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H型钢，立柱高3500mm,Q235B钢立柱；桥梁伸缩缝处两端则采用相邻两侧钢立柱翼板加宽，通过预埋件与基础（防撞墙）连接，钢立柱整体构件防锈保护须采用热镀锌及氟炭喷涂处理（氟碳喷涂为烘烤型）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2604.21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78126.3</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声屏障钢立柱底座更换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1、工作内容:拆除钢立柱底座，拆除物外运弃置，重新安装立柱底座，含植筋、底座底板、锚筋、锚栓等铁件</w:t>
            </w:r>
            <w:r>
              <w:rPr>
                <w:rFonts w:hint="eastAsia" w:ascii="宋体" w:hAnsi="宋体" w:cs="宋体"/>
                <w:color w:val="auto"/>
                <w:sz w:val="24"/>
                <w:highlight w:val="none"/>
              </w:rPr>
              <w:br/>
            </w:r>
            <w:r>
              <w:rPr>
                <w:rFonts w:hint="eastAsia" w:ascii="宋体" w:hAnsi="宋体" w:cs="宋体"/>
                <w:color w:val="auto"/>
                <w:sz w:val="24"/>
                <w:highlight w:val="none"/>
              </w:rPr>
              <w:t xml:space="preserve">2、2、材料、规格：植筋M22螺杆制作地脚螺栓，20mm厚底板、8mm厚限位钢板，铁件表面氟碳喷涂；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567.23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45378.4</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1、工作内容:拆除或调整罩板，安装固定下罩板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20.98</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419600</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233.99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467980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声屏障配件固定</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1、工作内容:调整固定立柱及声屏障屏体，防止松动</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39.86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119580</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1、工作内容:调整吸音板，防止松动</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59.8</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299000</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1、工作内容：波形板立柱拆除损坏钢管立柱，更换新钢管立柱（114钢管）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2、工作量计算规则：按数量以“根”计，钢管高综合考虑</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161.59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8079.5</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波形护栏端头更换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1、工作内容：（三波）波形板端头板补缺或拆除损坏端头，更换新端头</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2、工作量计算规则：按更换数量以“个”计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个</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114.7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5735</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1、工作内容:拆除破旧波形板，更换新护栏波形板（含紧固件、仿震块等），新波形板为三波板，含拆除、运输、拆除料外运弃置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248.69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373035</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波形护栏整形、调直</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1、工作内容:调整现状波形护栏，纠偏，调直，整形</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26.99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134950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波形护栏油漆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1、工作内容:清扫、磨砂纸、除锈擦洗，油漆</w:t>
            </w:r>
            <w:r>
              <w:rPr>
                <w:rFonts w:hint="eastAsia" w:ascii="宋体" w:hAnsi="宋体" w:cs="宋体"/>
                <w:color w:val="auto"/>
                <w:sz w:val="24"/>
                <w:highlight w:val="none"/>
              </w:rPr>
              <w:br/>
            </w:r>
            <w:r>
              <w:rPr>
                <w:rFonts w:hint="eastAsia" w:ascii="宋体" w:hAnsi="宋体" w:cs="宋体"/>
                <w:color w:val="auto"/>
                <w:sz w:val="24"/>
                <w:highlight w:val="none"/>
              </w:rPr>
              <w:t xml:space="preserve">2、材质：水性陶瓷油漆2层，波形护栏涂装</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2.工作量计算规则:按涂装护栏长度以米计量</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182.17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910850</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真石漆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1、材料品种: 真石漆</w:t>
            </w:r>
            <w:r>
              <w:rPr>
                <w:rFonts w:hint="eastAsia" w:ascii="宋体" w:hAnsi="宋体" w:cs="宋体"/>
                <w:color w:val="auto"/>
                <w:sz w:val="24"/>
                <w:highlight w:val="none"/>
              </w:rPr>
              <w:br/>
            </w:r>
            <w:r>
              <w:rPr>
                <w:rFonts w:hint="eastAsia" w:ascii="宋体" w:hAnsi="宋体" w:cs="宋体"/>
                <w:color w:val="auto"/>
                <w:sz w:val="24"/>
                <w:highlight w:val="none"/>
              </w:rPr>
              <w:t xml:space="preserve">2、工艺：基层修理、刷界面剂、刮批防水柔性腻子二遍、外墙底漆一遍、真石漆二遍、釉面清漆一遍</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142.52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7126</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环氧富锌漆涂料（两层）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1、工作内容:清除原漆，去污、除锈、磨光、分层刷漆</w:t>
            </w:r>
            <w:r>
              <w:rPr>
                <w:rFonts w:hint="eastAsia" w:ascii="宋体" w:hAnsi="宋体" w:cs="宋体"/>
                <w:color w:val="auto"/>
                <w:sz w:val="24"/>
                <w:highlight w:val="none"/>
              </w:rPr>
              <w:br/>
            </w:r>
            <w:r>
              <w:rPr>
                <w:rFonts w:hint="eastAsia" w:ascii="宋体" w:hAnsi="宋体" w:cs="宋体"/>
                <w:color w:val="auto"/>
                <w:sz w:val="24"/>
                <w:highlight w:val="none"/>
              </w:rPr>
              <w:t xml:space="preserve">2、材质：环氧富锌漆两遍</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800.8</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环氧富锌漆涂料（一层）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1、工作内容:清除原漆，去污、除锈、磨光、分层刷漆</w:t>
            </w:r>
            <w:r>
              <w:rPr>
                <w:rFonts w:hint="eastAsia" w:ascii="宋体" w:hAnsi="宋体" w:cs="宋体"/>
                <w:color w:val="auto"/>
                <w:sz w:val="24"/>
                <w:highlight w:val="none"/>
              </w:rPr>
              <w:br/>
            </w:r>
            <w:r>
              <w:rPr>
                <w:rFonts w:hint="eastAsia" w:ascii="宋体" w:hAnsi="宋体" w:cs="宋体"/>
                <w:color w:val="auto"/>
                <w:sz w:val="24"/>
                <w:highlight w:val="none"/>
              </w:rPr>
              <w:t xml:space="preserve">2、材质：环氧富锌漆一遍</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30.49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609.8</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聚氨酯涂料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1、工作内容:清除原漆，去污、除锈、磨光、分层刷漆</w:t>
            </w:r>
            <w:r>
              <w:rPr>
                <w:rFonts w:hint="eastAsia" w:ascii="宋体" w:hAnsi="宋体" w:cs="宋体"/>
                <w:color w:val="auto"/>
                <w:sz w:val="24"/>
                <w:highlight w:val="none"/>
              </w:rPr>
              <w:br/>
            </w:r>
            <w:r>
              <w:rPr>
                <w:rFonts w:hint="eastAsia" w:ascii="宋体" w:hAnsi="宋体" w:cs="宋体"/>
                <w:color w:val="auto"/>
                <w:sz w:val="24"/>
                <w:highlight w:val="none"/>
              </w:rPr>
              <w:t xml:space="preserve">2、材质：聚氨酯一底两面</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75.06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1501.2</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石材墙面修复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1、工作内容:清理墙面、石材底面，重新贴石材墙面</w:t>
            </w:r>
            <w:r>
              <w:rPr>
                <w:rFonts w:hint="eastAsia" w:ascii="宋体" w:hAnsi="宋体" w:cs="宋体"/>
                <w:color w:val="auto"/>
                <w:sz w:val="24"/>
                <w:highlight w:val="none"/>
              </w:rPr>
              <w:br/>
            </w:r>
            <w:r>
              <w:rPr>
                <w:rFonts w:hint="eastAsia" w:ascii="宋体" w:hAnsi="宋体" w:cs="宋体"/>
                <w:color w:val="auto"/>
                <w:sz w:val="24"/>
                <w:highlight w:val="none"/>
              </w:rPr>
              <w:t xml:space="preserve">2、材质：花岗岩石板利旧，不新购</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79.47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31788</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石材贴面修复（利旧）</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1、工作内容:清理墙面，重新贴石材墙面</w:t>
            </w:r>
            <w:r>
              <w:rPr>
                <w:rFonts w:hint="eastAsia" w:ascii="宋体" w:hAnsi="宋体" w:cs="宋体"/>
                <w:color w:val="auto"/>
                <w:sz w:val="24"/>
                <w:highlight w:val="none"/>
              </w:rPr>
              <w:br/>
            </w:r>
            <w:r>
              <w:rPr>
                <w:rFonts w:hint="eastAsia" w:ascii="宋体" w:hAnsi="宋体" w:cs="宋体"/>
                <w:color w:val="auto"/>
                <w:sz w:val="24"/>
                <w:highlight w:val="none"/>
              </w:rPr>
              <w:t xml:space="preserve">2、材质：新购4cm花岗岩石板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246.34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24634</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石材贴面干挂修复（利旧）</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1、工作内容:清理墙面、石材底面，加工固定钢筋，石材加工，重新挂贴石板</w:t>
            </w:r>
            <w:r>
              <w:rPr>
                <w:rFonts w:hint="eastAsia" w:ascii="宋体" w:hAnsi="宋体" w:cs="宋体"/>
                <w:color w:val="auto"/>
                <w:sz w:val="24"/>
                <w:highlight w:val="none"/>
              </w:rPr>
              <w:br/>
            </w:r>
            <w:r>
              <w:rPr>
                <w:rFonts w:hint="eastAsia" w:ascii="宋体" w:hAnsi="宋体" w:cs="宋体"/>
                <w:color w:val="auto"/>
                <w:sz w:val="24"/>
                <w:highlight w:val="none"/>
              </w:rPr>
              <w:t xml:space="preserve">2、材质：花岗岩石板利旧，不新购</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155.41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7770.5</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石材贴面干挂修复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1、工作内容:清理墙面、石材底面，加工固定钢筋，石材加工，重新挂贴石板</w:t>
            </w:r>
            <w:r>
              <w:rPr>
                <w:rFonts w:hint="eastAsia" w:ascii="宋体" w:hAnsi="宋体" w:cs="宋体"/>
                <w:color w:val="auto"/>
                <w:sz w:val="24"/>
                <w:highlight w:val="none"/>
              </w:rPr>
              <w:br/>
            </w:r>
            <w:r>
              <w:rPr>
                <w:rFonts w:hint="eastAsia" w:ascii="宋体" w:hAnsi="宋体" w:cs="宋体"/>
                <w:color w:val="auto"/>
                <w:sz w:val="24"/>
                <w:highlight w:val="none"/>
              </w:rPr>
              <w:t xml:space="preserve">2、材质：新购4cm花岗岩石板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323.94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16197</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防抛网更换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1、工作内容:拆除原有破损网片，整体更换网片，孔径&lt;50mm，高度3.5m</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101.21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5060.5</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防抛网新增</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1、工作内容:固定铁件安装，整体安装防抛网，孔径&lt;50mm，高度3.5m，配套立柱，与现场保持一致</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607.24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303620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伸缩缝日常养护清理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1、工作内容：桥梁原有伸缩缝日常养护清理，清理满足养护要求，废料弃置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6.79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13580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防撞墙清理维护</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1、工作内容：使用水枪、汤布、笤帚等工具，清洗防撞墙</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8.19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245700</w:t>
            </w:r>
            <w:r/>
          </w:p>
        </w:tc>
      </w:tr>
      <w:tr>
        <w:trPr>
          <w:trHeight w:val="17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防眩板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1、工作内容:拆除原损坏防眩板及支架，安装防眩板及支架</w:t>
            </w:r>
            <w:r>
              <w:rPr>
                <w:rFonts w:hint="eastAsia" w:ascii="宋体" w:hAnsi="宋体" w:cs="宋体"/>
                <w:color w:val="auto"/>
                <w:sz w:val="24"/>
                <w:highlight w:val="none"/>
              </w:rPr>
              <w:br/>
            </w:r>
            <w:r>
              <w:rPr>
                <w:rFonts w:hint="eastAsia" w:ascii="宋体" w:hAnsi="宋体" w:cs="宋体"/>
                <w:color w:val="auto"/>
                <w:sz w:val="24"/>
                <w:highlight w:val="none"/>
              </w:rPr>
              <w:t xml:space="preserve">2、规格、型号：290*50*2mm镀锌防眩板，折弯成型；200*150*4mm底板钢板，钻四孔；膨胀螺栓安装，迎车面贴Ⅳ反光膜；150*1950*2mm，20mm折边；折边处焊接膨胀螺栓安装。</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2.工作量计算规则:按数量以“套”计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套</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303.62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6072.4</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零星人工</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1、工作内容：零星人工</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2、工作量计算规则：按工日计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工日</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184.87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369740</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防撞车</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1、工作内容：防撞车配合维修作业</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1349.42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1349420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冷补沥青</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1、部位：机动车道或慢车道面层较小坑洞</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2、工作量计算规则：按体积以“立方米”计</w:t>
            </w:r>
            <w:r>
              <w:rPr>
                <w:rFonts w:hint="eastAsia" w:ascii="宋体" w:hAnsi="宋体" w:cs="宋体"/>
                <w:color w:val="auto"/>
                <w:sz w:val="24"/>
                <w:highlight w:val="none"/>
              </w:rPr>
              <w:br/>
            </w:r>
            <w:r>
              <w:rPr>
                <w:rFonts w:hint="eastAsia" w:ascii="宋体" w:hAnsi="宋体" w:cs="宋体"/>
                <w:color w:val="auto"/>
                <w:sz w:val="24"/>
                <w:highlight w:val="none"/>
              </w:rPr>
              <w:t xml:space="preserve">3、工作内容：坑洞清理、冷料沥青填筑坑洞、夯实</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m3</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4277.09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21385.45</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车行道细粒式沥青砼AC-13C修复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3、面层材质：4cm细粒式沥青砼AC-13C，玄武岩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124.57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124570</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车行道细粒式沥青砼AC-13C修复-厚度调整清单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1、工作量计算规则：按面积以“平方米”计，每0.5cm厚度增减费，对应清单“车行道细粒式沥青砼AC-13C修复”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2、维护方式:车行道细粒式沥青砼AC-13C修复，厚度调整，含拆除料外运弃置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13.59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27180</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车行道沥青玛蹄脂混合料SMA-13修复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2、维护方式:拆除厚度4cm沥青砼面层，拆除时不扰动未拆除部分，拆除废料外运弃置；重新修复沥青砼路面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3、面层材质：4cm细粒式沥青砼SMA-13，玄武岩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148.77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14877</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车行道沥青玛蹄脂混合料SMA-13修复-厚度调整清单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1、工作量计算规则：按面积以“平方米”计，每0.5cm厚度增减费对应清单“车行道沥青玛蹄脂混合料SMA-13修复”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2、维护方式:车行道沥青玛蹄脂混合料SMA-13修复，厚度调整，含拆除料外运弃置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16.62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3324</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车行道细粒式沥青砼修复增加SBS改性剂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2、维护方式:车行道细粒式沥青砼修复，增加SBS改性剂</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12.08</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12080</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车行道细粒式沥青砼增加抗剥落剂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2、维护方式:车行道细粒式沥青砼修复，增加抗剥落剂，添加量（沥青）0.2%~0.4%(质量比）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0.41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410</w:t>
            </w:r>
            <w:r/>
          </w:p>
        </w:tc>
      </w:tr>
      <w:tr>
        <w:trPr>
          <w:trHeight w:val="412"/>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车行道细粒式沥青砼增加聚酯纤维</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1、工作量计算规则：按面积以“平方米”计，对应清单“车行道细粒式沥青砼AC-13C修复”或“车行道沥青玛蹄脂混合料SMA-13修复”，厚度4cm，如厚度不一致折算处理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2、维护方式:车行道细粒式沥青砼修复，增加聚酯纤维，添加量（混合料）0.3%~0.4%(质量比）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6.46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6460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沥青路面整修粘层油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1、部位：粘层</w:t>
            </w:r>
            <w:r>
              <w:rPr>
                <w:rFonts w:hint="eastAsia" w:ascii="宋体" w:hAnsi="宋体" w:cs="宋体"/>
                <w:color w:val="auto"/>
                <w:sz w:val="24"/>
                <w:highlight w:val="none"/>
              </w:rPr>
              <w:br/>
            </w:r>
            <w:r>
              <w:rPr>
                <w:rFonts w:hint="eastAsia" w:ascii="宋体" w:hAnsi="宋体" w:cs="宋体"/>
                <w:color w:val="auto"/>
                <w:sz w:val="24"/>
                <w:highlight w:val="none"/>
              </w:rPr>
              <w:t xml:space="preserve">2、材料品种：乳化沥青</w:t>
            </w:r>
            <w:r>
              <w:rPr>
                <w:rFonts w:hint="eastAsia" w:ascii="宋体" w:hAnsi="宋体" w:cs="宋体"/>
                <w:color w:val="auto"/>
                <w:sz w:val="24"/>
                <w:highlight w:val="none"/>
              </w:rPr>
              <w:br/>
            </w:r>
            <w:r>
              <w:rPr>
                <w:rFonts w:hint="eastAsia" w:ascii="宋体" w:hAnsi="宋体" w:cs="宋体"/>
                <w:color w:val="auto"/>
                <w:sz w:val="24"/>
                <w:highlight w:val="none"/>
              </w:rPr>
              <w:t xml:space="preserve">3、喷油量：0.8kg/m2</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5040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登高车台班费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1、工作内容：配合登高作业，登高车,提升高度12m以内</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944.59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283377</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登高车台班费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1、工作内容：配合登高作业，登高车,提升高度12-22m</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1349.42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67471</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登高车台班费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1、工作内容：配合登高作业，登高车,提升高度22-40m</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2、工作量计算规则：按台班计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台班</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2048.97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10244.85</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设施维护手续办理费用</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1、用于因设施维护并按采购人要求进行绿化迁移、管线迁移等产生的费用</w:t>
            </w:r>
            <w:r>
              <w:rPr>
                <w:rFonts w:hint="eastAsia" w:ascii="宋体" w:hAnsi="宋体" w:cs="宋体"/>
                <w:color w:val="auto"/>
                <w:sz w:val="24"/>
                <w:highlight w:val="none"/>
              </w:rPr>
              <w:br/>
            </w: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不可竞争</w:t>
            </w:r>
            <w:r>
              <w:rPr>
                <w:rFonts w:hint="eastAsia" w:ascii="宋体" w:hAnsi="宋体" w:cs="宋体"/>
                <w:color w:val="auto"/>
                <w:sz w:val="24"/>
                <w:highlight w:val="none"/>
              </w:rPr>
              <w:t xml:space="preserve">，按实结算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10000</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10000</w:t>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第三部分 专项维修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粘层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2、材料品种：乳化沥青</w:t>
            </w:r>
            <w:r>
              <w:rPr>
                <w:rFonts w:hint="eastAsia" w:ascii="宋体" w:hAnsi="宋体" w:cs="宋体"/>
                <w:color w:val="auto"/>
                <w:sz w:val="24"/>
                <w:highlight w:val="none"/>
              </w:rPr>
              <w:br/>
            </w:r>
            <w:r>
              <w:rPr>
                <w:rFonts w:hint="eastAsia" w:ascii="宋体" w:hAnsi="宋体" w:cs="宋体"/>
                <w:color w:val="auto"/>
                <w:sz w:val="24"/>
                <w:highlight w:val="none"/>
              </w:rPr>
              <w:t xml:space="preserve">3、喷油量：0.8kg/m2</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4.16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249600</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车行道中粒式沥青砼修复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2、维护方式：铣刨厚度6cm沥青砼，拆除时不扰动未拆除部分；重新修复沥青砼路面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3、面层材质：6cm中粒式沥青砼AC-20C或SUP-20，石灰岩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84.67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42335</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车行道中粒式沥青砼修复增加抗车辙剂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1、工作量计算规则：按面积以“平方米”计，对应清单“车行道中粒式沥青砼修复”，厚度6cm，如厚度不一致折算处理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2、维护方式：车行道中粒式沥青砼修复，增加抗车辙剂，添加量0.2~0.4%（质量比）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6.52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3260</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沥青砼AC-13C修复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3、面层材质：4cm细粒式沥青砼AC-13C，玄武岩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77.26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11589</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沥青砼AC-13C修复-厚度调整清单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1、工作量计算规则：按面积以“平方米”计，每0.5cm厚度增减费，对应清单“车行道细粒式沥青砼AC-13C修复”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2、维护方式:车行道细粒式沥青砼AC-13C修复，厚度调整，含拆除料外运弃置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9.91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991</w:t>
            </w:r>
            <w:r/>
          </w:p>
        </w:tc>
      </w:tr>
      <w:tr>
        <w:trPr>
          <w:trHeight w:val="90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沥青玛蹄脂碎石SMA-13修复</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1、工作量计算规则：按面积以“平方米”计，如厚度不一致按厚度调整清单调整</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2、维护方式:拆除厚度4cm沥青砼面层，拆除时不扰动未拆除部分，拆除废料外运弃置；重新修复沥青砼路面</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3、面层材质：4cm细粒式沥青砼SMA-13，玄武岩</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88.79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5327400</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沥青玛蹄脂混合料SMA-13修复-厚度调整清单</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1、工作量计算规则：按面积以“平方米”计，每0.5cm厚度增减费对应清单“车行道沥青玛蹄脂混合料SMA-13修复”</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2、维护方式:车行道沥青玛蹄脂混合料SMA-13修复，厚度调整，含拆除料外运弃置</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11.36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340800</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沥青砼修复-增加SBS改性剂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2、维护方式：对应清单“车行道细粒式沥青砼AC-13C修复”或“沥青玛蹄脂碎石SMA-13修复”，细粒式沥青砼AC-13C修复，增加SBS改性剂</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9.52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571200</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沥青砼修复-增加抗剥落剂</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2、维护方式：对应清单“车行道细粒式沥青砼AC-13C修复”或“沥青玛蹄脂碎石SMA-13修复”，增加抗剥落剂，添加量（沥青）0.2%~0.4%(质量比）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0.33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19800</w:t>
            </w:r>
            <w:r/>
          </w:p>
        </w:tc>
      </w:tr>
      <w:tr>
        <w:trPr>
          <w:trHeight w:val="35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沥青砼修复-增加聚酯纤维</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2、维护方式：对应清单“车行道细粒式沥青砼AC-13C修复”或“沥青玛蹄脂碎石SMA-13修复”，增加聚酯纤维，添加量（混合料）0.3%~0.4%(质量比）</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306000</w:t>
            </w:r>
            <w:r/>
          </w:p>
        </w:tc>
      </w:tr>
      <w:tr>
        <w:trPr>
          <w:trHeight w:val="837"/>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彩色陶瓷颗粒防滑路面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1、工作量计算规则：按面积以“平方米”计，如厚度不一致折算处理</w:t>
            </w:r>
            <w:r>
              <w:rPr>
                <w:rFonts w:hint="eastAsia" w:ascii="宋体" w:hAnsi="宋体" w:cs="宋体"/>
                <w:color w:val="auto"/>
                <w:sz w:val="24"/>
                <w:highlight w:val="none"/>
              </w:rPr>
              <w:br/>
            </w:r>
            <w:r>
              <w:rPr>
                <w:rFonts w:hint="eastAsia" w:ascii="宋体" w:hAnsi="宋体" w:cs="宋体"/>
                <w:color w:val="auto"/>
                <w:sz w:val="24"/>
                <w:highlight w:val="none"/>
              </w:rPr>
              <w:t xml:space="preserve">2、维护方式:路面清扫、刮涂树脂粘结料、撒布陶瓷颗粒、收集多余陶瓷颗粒等 </w:t>
            </w:r>
            <w:r>
              <w:rPr>
                <w:rFonts w:hint="eastAsia" w:ascii="宋体" w:hAnsi="宋体" w:cs="宋体"/>
                <w:color w:val="auto"/>
                <w:sz w:val="24"/>
                <w:highlight w:val="none"/>
              </w:rPr>
              <w:br/>
            </w:r>
            <w:r>
              <w:rPr>
                <w:rFonts w:hint="eastAsia" w:ascii="宋体" w:hAnsi="宋体" w:cs="宋体"/>
                <w:color w:val="auto"/>
                <w:sz w:val="24"/>
                <w:highlight w:val="none"/>
              </w:rPr>
              <w:t xml:space="preserve">3、面层材质：改性环氧树脂高性能高分子聚合材料5mm</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139.6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69800</w:t>
            </w:r>
            <w:r/>
          </w:p>
        </w:tc>
      </w:tr>
      <w:tr>
        <w:trPr>
          <w:trHeight w:val="22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215.42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861680</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防撞墙维护（内墙）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122.89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2765025</w:t>
            </w:r>
            <w:r/>
          </w:p>
        </w:tc>
      </w:tr>
      <w:tr>
        <w:trPr>
          <w:trHeight w:val="1262"/>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1、铲除部位名称：破损处凿除混凝土保护层；清理拆卸材料，运距综合考虑；冲洗墙面</w:t>
            </w:r>
            <w:r>
              <w:rPr>
                <w:rFonts w:hint="eastAsia" w:ascii="宋体" w:hAnsi="宋体" w:cs="宋体"/>
                <w:color w:val="auto"/>
                <w:sz w:val="24"/>
                <w:highlight w:val="none"/>
              </w:rPr>
              <w:br/>
            </w:r>
            <w:r>
              <w:rPr>
                <w:rFonts w:hint="eastAsia" w:ascii="宋体" w:hAnsi="宋体" w:cs="宋体"/>
                <w:color w:val="auto"/>
                <w:sz w:val="24"/>
                <w:highlight w:val="none"/>
              </w:rPr>
              <w:t xml:space="preserve">2、露筋除锈：病害破损处外漏钢筋进行除锈、防锈；防锈漆二遍</w:t>
            </w:r>
            <w:r>
              <w:rPr>
                <w:rFonts w:hint="eastAsia" w:ascii="宋体" w:hAnsi="宋体" w:cs="宋体"/>
                <w:color w:val="auto"/>
                <w:sz w:val="24"/>
                <w:highlight w:val="none"/>
              </w:rPr>
              <w:br/>
            </w:r>
            <w:r>
              <w:rPr>
                <w:rFonts w:hint="eastAsia" w:ascii="宋体" w:hAnsi="宋体" w:cs="宋体"/>
                <w:color w:val="auto"/>
                <w:sz w:val="24"/>
                <w:highlight w:val="none"/>
              </w:rPr>
              <w:t xml:space="preserve">3、防撞墙整面砂浆抹面：素水泥浆界面剂、水泥砂浆抹面（1：2水泥砂浆、1:2.5水泥砂浆）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4、涂料面漆：工艺：墙面涂料，底层无机纳米陶瓷涂层1道，面层无机纳米陶瓷涂层2道，罩面无机纳米陶瓷涂层2道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235.51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47102</w:t>
            </w:r>
            <w:r/>
          </w:p>
        </w:tc>
      </w:tr>
      <w:tr>
        <w:trPr>
          <w:trHeight w:val="153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防撞墙维护（外墙）</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1、工艺：冲洗墙面，整面砂浆抹面：素水泥浆界面剂、水泥砂浆抹面（1：2水泥砂浆、1:2.5水泥砂浆）</w:t>
            </w:r>
            <w:r>
              <w:rPr>
                <w:rFonts w:hint="eastAsia" w:ascii="宋体" w:hAnsi="宋体" w:cs="宋体"/>
                <w:color w:val="auto"/>
                <w:sz w:val="24"/>
                <w:highlight w:val="none"/>
              </w:rPr>
              <w:br/>
            </w:r>
            <w:r>
              <w:rPr>
                <w:rFonts w:hint="eastAsia" w:ascii="宋体" w:hAnsi="宋体" w:cs="宋体"/>
                <w:color w:val="auto"/>
                <w:sz w:val="24"/>
                <w:highlight w:val="none"/>
              </w:rPr>
              <w:t xml:space="preserve">2、涂料面漆：工艺：墙面涂料，底层无机纳米陶瓷涂层1道，面层无机纳米陶瓷涂层2道，罩面无机纳米陶瓷涂层2道</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128.18</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256360</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声屏障油漆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1、工作内容:人工动力工具除锈，底漆一面，氟碳面漆两遍</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127.97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63985</w:t>
            </w:r>
            <w:r/>
          </w:p>
        </w:tc>
      </w:tr>
      <w:tr>
        <w:trPr>
          <w:trHeight w:val="843"/>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钢管扶手油漆</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1、清除原油漆</w:t>
            </w:r>
            <w:r>
              <w:rPr>
                <w:rFonts w:hint="eastAsia" w:ascii="宋体" w:hAnsi="宋体" w:cs="宋体"/>
                <w:color w:val="auto"/>
                <w:sz w:val="24"/>
                <w:highlight w:val="none"/>
              </w:rPr>
              <w:br/>
            </w:r>
            <w:r>
              <w:rPr>
                <w:rFonts w:hint="eastAsia" w:ascii="宋体" w:hAnsi="宋体" w:cs="宋体"/>
                <w:color w:val="auto"/>
                <w:sz w:val="24"/>
                <w:highlight w:val="none"/>
              </w:rPr>
              <w:t xml:space="preserve">2、重新进行氟碳涂装，喷涂满足招标技术要求文件</w:t>
            </w:r>
            <w:r>
              <w:rPr>
                <w:rFonts w:hint="eastAsia" w:ascii="宋体" w:hAnsi="宋体" w:cs="宋体"/>
                <w:color w:val="auto"/>
                <w:sz w:val="24"/>
                <w:highlight w:val="none"/>
              </w:rPr>
              <w:br/>
            </w:r>
            <w:r>
              <w:rPr>
                <w:rFonts w:hint="eastAsia" w:ascii="宋体" w:hAnsi="宋体" w:cs="宋体"/>
                <w:color w:val="auto"/>
                <w:sz w:val="24"/>
                <w:highlight w:val="none"/>
              </w:rPr>
              <w:t xml:space="preserve">3、管道开口处，封口半球钢计入此项</w:t>
            </w:r>
            <w:r>
              <w:rPr>
                <w:rFonts w:hint="eastAsia" w:ascii="宋体" w:hAnsi="宋体" w:cs="宋体"/>
                <w:color w:val="auto"/>
                <w:sz w:val="24"/>
                <w:highlight w:val="none"/>
              </w:rPr>
              <w:br/>
            </w:r>
            <w:r>
              <w:rPr>
                <w:rFonts w:hint="eastAsia" w:ascii="宋体" w:hAnsi="宋体" w:cs="宋体"/>
                <w:color w:val="auto"/>
                <w:sz w:val="24"/>
                <w:highlight w:val="none"/>
              </w:rPr>
              <w:t xml:space="preserve">4、计量方式：按长度计量（含立柱），材质综合考虑</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46.19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923800</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钢扶手拆除</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1、工作内容:拆除现状扶手、底座,拆除料外运弃置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2.工作量计算规则:按伸缩缝长度计算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7.38</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738</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＜0.2mm裂缝封闭</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1、工作内容:沿缝打磨、封闭裂缝，登高费另计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60.93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6093</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≥0.2mm裂缝注胶</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1、工作内容:沿缝打磨、安置胶嘴、封闭裂缝、灌注裂缝胶等，不含登高费</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205.29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20529</w:t>
            </w:r>
            <w:r/>
          </w:p>
        </w:tc>
      </w:tr>
      <w:tr>
        <w:trPr>
          <w:trHeight w:val="255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声屏障吸音板更换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1、工作内容：拆除原声屏障吸音板，拆除料外运弃置，安装新声屏障吸音板；</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2、声屏障材质：吸音板：面板采用优质铝合金穿孔板，厚度1.2mm，开孔率≥25％，开孔样式与高架现有款式保持一致或由采购人确定。背板及龙骨均采用优质镀锌钢板，板厚1.2mm, 龙骨1.5mm，内部采用离心法生产的48 kg/m3玻璃棉板外裹无碱憎水布。表面氟碳喷涂防腐处理（氟碳喷涂为烘烤型），穿孔面板双面喷涂，背板单面喷涂；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665.16</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1330320</w:t>
            </w:r>
            <w:r/>
          </w:p>
        </w:tc>
      </w:tr>
      <w:tr>
        <w:trPr>
          <w:trHeight w:val="127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声屏障亚克力透明屏更换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1、工作内容：拆除原声屏障亚克力板，拆除料外运弃置，安装新声屏障亚克力板；</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2、声屏障材质：透明隔声屏体为厚度10mm亚克力板、外包厚铝合金边框</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831.8</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3327200</w:t>
            </w:r>
            <w:r/>
          </w:p>
        </w:tc>
      </w:tr>
      <w:tr>
        <w:trPr>
          <w:trHeight w:val="6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1、工作内容：拆除原声屏障钢立柱，拆除料外运弃置，安装钢立柱；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H型钢，立柱高3000mm，Q235B钢立柱；桥梁伸缩缝处两端则采用相邻两侧钢立柱翼板加宽，通过预埋件与基础（防撞墙）连接，钢立柱整体构件防锈保护须采用热镀锌及氟炭喷涂处理（氟碳喷涂为烘烤型）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2247.12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1123560</w:t>
            </w:r>
            <w:r/>
          </w:p>
        </w:tc>
      </w:tr>
      <w:tr>
        <w:trPr>
          <w:trHeight w:val="857"/>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声屏障钢立柱更换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1、工作内容：拆除原声屏障钢立柱，拆除料外运弃置，安装钢立柱；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2、立柱：采用规格为150*150*7*10mm H型钢，立柱高3500mm，Q235B钢立柱；桥梁伸缩缝处两端则采用相邻两侧钢立柱翼板加宽，通过预埋件与基础（防撞墙）连接，钢立柱整体构件防锈保护须采用热镀锌及氟炭喷涂处理（氟碳喷涂为烘烤型）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2598.22</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207857.6</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声屏障下罩板更换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166.11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332220</w:t>
            </w:r>
            <w:r/>
          </w:p>
        </w:tc>
      </w:tr>
      <w:tr>
        <w:trPr>
          <w:trHeight w:val="132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安装声屏障吸音板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1、工作内容:安装声屏障吸音板</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2、声屏障材质：吸音板：面板采用优质铝合金穿孔板，厚度1.2mm，开孔率≥25％，开孔样式与高架现有款式保持一致或由采购人确定。背板及龙骨均采用优质镀锌钢板，板厚1.2mm, 龙骨1.5mm，内部采用离心法生产的48 kg/m3玻璃棉板外裹无碱憎水布。表面氟碳喷涂防腐处理（氟碳喷涂为烘烤型），穿孔面板双面喷涂，背板单面喷涂</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635.19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254076</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安装声屏障亚克力透明屏</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1、工作内容:安装声屏障亚克力透明屏</w:t>
            </w:r>
            <w:r>
              <w:rPr>
                <w:rFonts w:hint="eastAsia" w:ascii="宋体" w:hAnsi="宋体" w:cs="宋体"/>
                <w:color w:val="auto"/>
                <w:sz w:val="24"/>
                <w:highlight w:val="none"/>
              </w:rPr>
              <w:br/>
            </w:r>
            <w:r>
              <w:rPr>
                <w:rFonts w:hint="eastAsia" w:ascii="宋体" w:hAnsi="宋体" w:cs="宋体"/>
                <w:color w:val="auto"/>
                <w:sz w:val="24"/>
                <w:highlight w:val="none"/>
              </w:rPr>
              <w:t xml:space="preserve">2、声屏障材质：透明隔声屏体为厚度10mm亚克力板、外包厚铝合金边框</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3、工作量计算规则：按面积以“平方米”计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836.73</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669384</w:t>
            </w:r>
            <w:r/>
          </w:p>
        </w:tc>
      </w:tr>
      <w:tr>
        <w:trPr>
          <w:trHeight w:val="22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28</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安装声屏障钢立柱</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1、工作内容:制作、安装连接铁件，安装钢立柱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2、材料、规格：植筋M22螺杆制作地脚螺栓，20mm厚底板、8mm厚限位钢板；立柱采用规格为150*150*7*10mm H型钢，立柱高3000mm,Q235B钢立柱；桥梁伸缩缝处两端则采用相邻两侧钢立柱翼板加宽，通过预埋件与基础（防撞墙）连接，钢立柱整体构件防锈保护须采用热镀锌及氟炭喷涂处理（氟碳喷涂为烘烤型）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2301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161070</w:t>
            </w:r>
            <w:r/>
          </w:p>
        </w:tc>
      </w:tr>
      <w:tr>
        <w:trPr>
          <w:trHeight w:val="229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安装声屏障钢立柱</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1、工作内容:制作、安装连接铁件，安装钢立柱</w:t>
            </w:r>
            <w:r>
              <w:rPr>
                <w:rFonts w:hint="eastAsia" w:ascii="宋体" w:hAnsi="宋体" w:cs="宋体"/>
                <w:color w:val="auto"/>
                <w:sz w:val="24"/>
                <w:highlight w:val="none"/>
              </w:rPr>
              <w:br/>
            </w:r>
            <w:r>
              <w:rPr>
                <w:rFonts w:hint="eastAsia" w:ascii="宋体" w:hAnsi="宋体" w:cs="宋体"/>
                <w:color w:val="auto"/>
                <w:sz w:val="24"/>
                <w:highlight w:val="none"/>
              </w:rPr>
              <w:t xml:space="preserve">2、材料、规格：植筋M22螺杆制作地脚螺栓，20mm厚底板、8mm厚限位钢板；立柱采用规格为150*150*7*10mm H型钢，立柱高3500mm,Q235B钢立柱；桥梁伸缩缝处两端则采用相邻两侧钢立柱翼板加宽，通过预埋件与基础（防撞墙）连接，钢立柱整体构件防锈保护须采用热镀锌及氟炭喷涂处理（氟碳喷涂为烘烤型）</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3、工作量计算规则：按数量以“根”计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2530.35</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37955.25</w:t>
            </w:r>
            <w:r/>
          </w:p>
        </w:tc>
      </w:tr>
      <w:tr>
        <w:trPr>
          <w:trHeight w:val="412"/>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安装声屏障（下罩板）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1、工作内容:拆除破旧下罩板，更换下罩板，含拆除、运输、拆除料外运弃置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2、下罩板：1.5厚镀锌板</w:t>
            </w:r>
            <w:r>
              <w:rPr>
                <w:rFonts w:hint="eastAsia" w:ascii="宋体" w:hAnsi="宋体" w:cs="宋体"/>
                <w:color w:val="auto"/>
                <w:sz w:val="24"/>
                <w:highlight w:val="none"/>
              </w:rPr>
              <w:br/>
            </w:r>
            <w:r>
              <w:rPr>
                <w:rFonts w:hint="eastAsia" w:ascii="宋体" w:hAnsi="宋体" w:cs="宋体"/>
                <w:color w:val="auto"/>
                <w:sz w:val="24"/>
                <w:highlight w:val="none"/>
              </w:rPr>
              <w:t xml:space="preserve">3、工作量计算规则：按长度以"米"计算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166.11</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66444</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波形护栏立柱更换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1、工作内容：波形板立柱拆除损坏钢管立柱，拆除料外运弃置，更换新钢管立柱（114钢管）</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2、工作量计算规则：按更换根数计算，钢管高综合考虑</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155.49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15549</w:t>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隔离护栏</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1、工作内容:拆除破旧波形板，更换新护栏波形板（含紧固件、仿震块等），新波形板为三波板，含拆除、运输、拆除料外运弃置</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2、工作量计算规则：按更换长度，以米计算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216.94</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10847</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橡胶止水带更换</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1.工作内容:拆除原有伸缩缝胶条，拆除料外运弃置，更换新伸缩缝密封胶条 </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2.工作量计算规则:按长度以“米”计</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4300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120.29</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517247</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1.工作内容:增设交通标线，热熔实线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48.85</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73275</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35</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1.工作内容:增设交通标线，常温实线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r>
              <w:rPr>
                <w:rFonts w:hint="eastAsia" w:ascii="宋体" w:hAnsi="宋体" w:cs="宋体"/>
                <w:color w:val="auto"/>
                <w:sz w:val="24"/>
                <w:highlight w:val="none"/>
              </w:rPr>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23270</w:t>
            </w:r>
            <w:r/>
          </w:p>
        </w:tc>
      </w:tr>
      <w:tr>
        <w:trPr>
          <w:trHeight w:val="51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36</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标线</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Cs w:val="24"/>
                <w:highlight w:val="none"/>
              </w:rPr>
            </w:pPr>
            <w:r>
              <w:rPr>
                <w:rFonts w:hint="eastAsia" w:ascii="宋体" w:hAnsi="宋体" w:cs="宋体"/>
                <w:color w:val="auto"/>
                <w:sz w:val="24"/>
                <w:highlight w:val="none"/>
              </w:rPr>
              <w:t xml:space="preserve">1.工作内容:增设震荡线</w:t>
            </w:r>
            <w:r>
              <w:rPr>
                <w:rFonts w:hint="eastAsia" w:ascii="宋体" w:hAnsi="宋体" w:cs="宋体"/>
                <w:color w:val="auto"/>
                <w:sz w:val="24"/>
                <w:highlight w:val="none"/>
              </w:rPr>
              <w:br/>
            </w:r>
            <w:r>
              <w:rPr>
                <w:rFonts w:hint="eastAsia" w:ascii="宋体" w:hAnsi="宋体" w:cs="宋体"/>
                <w:color w:val="auto"/>
                <w:sz w:val="24"/>
                <w:highlight w:val="none"/>
              </w:rPr>
              <w:t xml:space="preserve">2.工作量计算规则:按面积以“平方米”计算</w:t>
            </w:r>
            <w:r>
              <w:rPr>
                <w:rFonts w:ascii="宋体" w:hAnsi="宋体" w:cs="宋体"/>
                <w:color w:val="auto"/>
                <w:sz w:val="24"/>
                <w:highlight w:val="none"/>
              </w:rPr>
            </w:r>
            <w:r/>
            <w:r>
              <w:rPr>
                <w:rFonts w:hint="eastAsia" w:ascii="宋体" w:hAnsi="宋体" w:cs="宋体"/>
                <w:color w:val="auto"/>
                <w:sz w:val="24"/>
                <w:highlight w:val="none"/>
              </w:rPr>
            </w:r>
            <w:r/>
            <w:r>
              <w:rPr>
                <w:rFonts w:ascii="宋体" w:hAnsi="宋体" w:cs="宋体"/>
                <w:color w:val="auto"/>
                <w:sz w:val="24"/>
                <w:szCs w:val="24"/>
                <w:highlight w:val="none"/>
              </w:rP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m2</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98.87</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4943.5</w:t>
            </w:r>
            <w:r/>
          </w:p>
        </w:tc>
      </w:tr>
      <w:tr>
        <w:trPr>
          <w:trHeight w:val="76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执勤费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1、工作量计算规则：以“人*月”为单位，费用自行测算， 按实际数量结算</w:t>
            </w:r>
            <w:r>
              <w:rPr>
                <w:rFonts w:hint="eastAsia" w:ascii="宋体" w:hAnsi="宋体" w:cs="宋体"/>
                <w:color w:val="auto"/>
                <w:sz w:val="24"/>
                <w:highlight w:val="none"/>
              </w:rPr>
              <w:br/>
            </w:r>
            <w:r>
              <w:rPr>
                <w:rFonts w:hint="eastAsia" w:ascii="宋体" w:hAnsi="宋体" w:cs="宋体"/>
                <w:color w:val="auto"/>
                <w:sz w:val="24"/>
                <w:highlight w:val="none"/>
              </w:rPr>
              <w:t xml:space="preserve">2、维护内容：交通执勤</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人*月</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4500</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90000</w:t>
            </w:r>
            <w:r/>
          </w:p>
        </w:tc>
      </w:tr>
      <w:tr>
        <w:trPr>
          <w:trHeight w:val="285"/>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gridSpan w:val="2"/>
            <w:tcMar>
              <w:left w:w="15" w:type="dxa"/>
              <w:top w:w="15" w:type="dxa"/>
              <w:right w:w="15" w:type="dxa"/>
            </w:tcMar>
            <w:tcW w:w="515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第四部分 应急管理费</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020"/>
        </w:trPr>
        <w:tc>
          <w:tcPr>
            <w:tcMar>
              <w:left w:w="15" w:type="dxa"/>
              <w:top w:w="15" w:type="dxa"/>
              <w:right w:w="15" w:type="dxa"/>
            </w:tcMar>
            <w:tcW w:w="61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Mar>
              <w:left w:w="15" w:type="dxa"/>
              <w:top w:w="15" w:type="dxa"/>
              <w:right w:w="15" w:type="dxa"/>
            </w:tcMar>
            <w:tcW w:w="82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应急管理费</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雨季、冰冻季和台风暴雨等灾害性天气气候的养护值班及应急处理；紧急、特殊情况的应急处理，应急演练、临时安排等（以招标文件及采购人要求为准）</w:t>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月</w:t>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30000</w:t>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720000</w:t>
            </w:r>
            <w:r/>
          </w:p>
        </w:tc>
      </w:tr>
      <w:tr>
        <w:trPr>
          <w:trHeight w:val="780"/>
        </w:trPr>
        <w:tc>
          <w:tcPr>
            <w:gridSpan w:val="2"/>
            <w:tcMar>
              <w:left w:w="15" w:type="dxa"/>
              <w:top w:w="15" w:type="dxa"/>
              <w:right w:w="15" w:type="dxa"/>
            </w:tcMar>
            <w:tcW w:w="14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最高限价合计</w:t>
            </w:r>
            <w:r/>
          </w:p>
        </w:tc>
        <w:tc>
          <w:tcPr>
            <w:tcMar>
              <w:left w:w="15" w:type="dxa"/>
              <w:top w:w="15" w:type="dxa"/>
              <w:right w:w="15" w:type="dxa"/>
            </w:tcMar>
            <w:tcW w:w="432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19"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64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00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13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29999956.68</w:t>
            </w:r>
            <w:bookmarkEnd w:id="57"/>
            <w:r/>
            <w:r/>
          </w:p>
        </w:tc>
      </w:tr>
    </w:tbl>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注：1、与道路标段界定：高架出入口及跨线桥以挡墙位置为界，高架主线段全部包含在标段内（含地面段快速路及跨河桥梁、不含隧道）。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2、与隧道标段界定：以隧道出入口处高挡墙起始点为界，具体位置由采购人确定。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零星、专项维护单价界定：如单次维护总面积（或总长度）大于等于200平方米（米）；则此次维护的所有工作内容均按专项维护清单中的单价进行计算（如专项维护清单中没有的项目按零星维护单价进行计算）。  </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（二）本项目维护作业所依据的法律法规：</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1、住建部《城市桥梁养护技术标准》CJJ99-2017；</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2、住建部《城市桥梁工程施工与质量验收规范》CJJ 2-2008；</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3、《苏州市市政设施管理条例》（2016年）；</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以及国家及各级人民政府、行政主管部门有关专业的现行标准、规范、规程。</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（三）市政设施日常巡视内容及要求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本项目所维护的城市高架（快速路）及跨线桥梁属Ⅰ等养护的城市桥梁，中标单位应按照住建部《城市桥梁养护技术标准》（CJJ99-2017）进行维护，并对维护的城市桥梁应进行每日巡检。</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1、巡视内容：</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（1）检查城市桥梁各组成结构的完好状态，主要检查内容如下表：</w:t>
      </w:r>
      <w:r/>
    </w:p>
    <w:p>
      <w:pPr>
        <w:ind w:firstLine="482"/>
        <w:jc w:val="center"/>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各组成结构的检查要点</w:t>
      </w:r>
      <w:r/>
    </w:p>
    <w:tbl>
      <w:tblPr>
        <w:tblStyle w:val="703"/>
        <w:tblW w:w="9402" w:type="dxa"/>
        <w:tblInd w:w="0" w:type="dxa"/>
        <w:tblLayout w:type="fixed"/>
        <w:tblCellMar>
          <w:left w:w="108" w:type="dxa"/>
          <w:top w:w="0" w:type="dxa"/>
          <w:right w:w="108" w:type="dxa"/>
          <w:bottom w:w="0" w:type="dxa"/>
        </w:tblCellMar>
        <w:tblLook w:val="04A0" w:firstRow="1" w:lastRow="0" w:firstColumn="1" w:lastColumn="0" w:noHBand="0" w:noVBand="1"/>
      </w:tblPr>
      <w:tblGrid>
        <w:gridCol w:w="1710"/>
        <w:gridCol w:w="2209"/>
        <w:gridCol w:w="5483"/>
      </w:tblGrid>
      <w:tr>
        <w:trPr>
          <w:trHeight w:val="38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0"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组成结构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部位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检查要点</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0" w:type="dxa"/>
            <w:vAlign w:val="center"/>
            <w:vMerge w:val="restart"/>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桥面系及附属结构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桥面铺装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平整性及裂缝、坑槽、拥包、车辙、积水、沉陷、碎边、桥头跳车等</w:t>
            </w:r>
            <w:r/>
          </w:p>
        </w:tc>
      </w:tr>
      <w:tr>
        <w:trPr/>
        <w:tc>
          <w:tcPr>
            <w:tcBorders>
              <w:top w:val="single" w:color="auto" w:sz="4" w:space="0"/>
              <w:left w:val="single" w:color="auto" w:sz="4" w:space="0"/>
              <w:bottom w:val="single" w:color="auto" w:sz="4" w:space="0"/>
              <w:right w:val="single" w:color="auto" w:sz="4" w:space="0"/>
            </w:tcBorders>
            <w:tcW w:w="1710" w:type="dxa"/>
            <w:vAlign w:val="center"/>
            <w:vMerge w:val="continue"/>
            <w:textDirection w:val="lrTb"/>
            <w:noWrap w:val="false"/>
          </w:tcPr>
          <w:p>
            <w:pPr>
              <w:jc w:val="center"/>
              <w:spacing w:line="360" w:lineRule="auto"/>
              <w:rPr>
                <w:rStyle w:val="737"/>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伸缩装置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连接松动、异常变形、破损、脱落、漏水、阻塞等；是否造成明显跳车</w:t>
            </w:r>
            <w:r/>
          </w:p>
        </w:tc>
      </w:tr>
      <w:tr>
        <w:trPr/>
        <w:tc>
          <w:tcPr>
            <w:tcBorders>
              <w:top w:val="single" w:color="auto" w:sz="4" w:space="0"/>
              <w:left w:val="single" w:color="auto" w:sz="4" w:space="0"/>
              <w:bottom w:val="single" w:color="auto" w:sz="4" w:space="0"/>
              <w:right w:val="single" w:color="auto" w:sz="4" w:space="0"/>
            </w:tcBorders>
            <w:tcW w:w="1710" w:type="dxa"/>
            <w:vAlign w:val="center"/>
            <w:vMerge w:val="continue"/>
            <w:textDirection w:val="lrTb"/>
            <w:noWrap w:val="false"/>
          </w:tcPr>
          <w:p>
            <w:pPr>
              <w:jc w:val="center"/>
              <w:spacing w:line="360" w:lineRule="auto"/>
              <w:rPr>
                <w:rStyle w:val="737"/>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排水设施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泄水孔堵塞；排水设施缺损等</w:t>
            </w:r>
            <w:r/>
          </w:p>
        </w:tc>
      </w:tr>
      <w:tr>
        <w:trPr/>
        <w:tc>
          <w:tcPr>
            <w:tcBorders>
              <w:top w:val="single" w:color="auto" w:sz="4" w:space="0"/>
              <w:left w:val="single" w:color="auto" w:sz="4" w:space="0"/>
              <w:bottom w:val="single" w:color="auto" w:sz="4" w:space="0"/>
              <w:right w:val="single" w:color="auto" w:sz="4" w:space="0"/>
            </w:tcBorders>
            <w:tcW w:w="1710" w:type="dxa"/>
            <w:vAlign w:val="center"/>
            <w:vMerge w:val="continue"/>
            <w:textDirection w:val="lrTb"/>
            <w:noWrap w:val="false"/>
          </w:tcPr>
          <w:p>
            <w:pPr>
              <w:jc w:val="center"/>
              <w:spacing w:line="360" w:lineRule="auto"/>
              <w:rPr>
                <w:rStyle w:val="737"/>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人行道铺装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裂缝、松动或变形、残缺等</w:t>
            </w:r>
            <w:r/>
          </w:p>
        </w:tc>
      </w:tr>
      <w:tr>
        <w:trPr/>
        <w:tc>
          <w:tcPr>
            <w:tcBorders>
              <w:top w:val="single" w:color="auto" w:sz="4" w:space="0"/>
              <w:left w:val="single" w:color="auto" w:sz="4" w:space="0"/>
              <w:bottom w:val="single" w:color="auto" w:sz="4" w:space="0"/>
              <w:right w:val="single" w:color="auto" w:sz="4" w:space="0"/>
            </w:tcBorders>
            <w:tcW w:w="1710" w:type="dxa"/>
            <w:vAlign w:val="center"/>
            <w:vMerge w:val="continue"/>
            <w:textDirection w:val="lrTb"/>
            <w:noWrap w:val="false"/>
          </w:tcPr>
          <w:p>
            <w:pPr>
              <w:jc w:val="center"/>
              <w:spacing w:line="360" w:lineRule="auto"/>
              <w:rPr>
                <w:rStyle w:val="737"/>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栏杆、防撞护栏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污秽、破损、缺失、露筋、锈蚀、断裂、松动等</w:t>
            </w:r>
            <w:r/>
          </w:p>
        </w:tc>
      </w:tr>
      <w:tr>
        <w:trPr/>
        <w:tc>
          <w:tcPr>
            <w:tcBorders>
              <w:top w:val="single" w:color="auto" w:sz="4" w:space="0"/>
              <w:left w:val="single" w:color="auto" w:sz="4" w:space="0"/>
              <w:bottom w:val="single" w:color="auto" w:sz="4" w:space="0"/>
              <w:right w:val="single" w:color="auto" w:sz="4" w:space="0"/>
            </w:tcBorders>
            <w:tcW w:w="1710" w:type="dxa"/>
            <w:vAlign w:val="center"/>
            <w:vMerge w:val="continue"/>
            <w:textDirection w:val="lrTb"/>
            <w:noWrap w:val="false"/>
          </w:tcPr>
          <w:p>
            <w:pPr>
              <w:jc w:val="center"/>
              <w:spacing w:line="360" w:lineRule="auto"/>
              <w:rPr>
                <w:rStyle w:val="737"/>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防护网、声屏障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锈蚀、缺损、变形缝、松动等</w:t>
            </w:r>
            <w:r/>
          </w:p>
        </w:tc>
      </w:tr>
      <w:tr>
        <w:trPr/>
        <w:tc>
          <w:tcPr>
            <w:tcBorders>
              <w:top w:val="single" w:color="auto" w:sz="4" w:space="0"/>
              <w:left w:val="single" w:color="auto" w:sz="4" w:space="0"/>
              <w:bottom w:val="single" w:color="auto" w:sz="4" w:space="0"/>
              <w:right w:val="single" w:color="auto" w:sz="4" w:space="0"/>
            </w:tcBorders>
            <w:tcW w:w="1710" w:type="dxa"/>
            <w:vAlign w:val="center"/>
            <w:vMerge w:val="continue"/>
            <w:textDirection w:val="lrTb"/>
            <w:noWrap w:val="false"/>
          </w:tcPr>
          <w:p>
            <w:pPr>
              <w:jc w:val="center"/>
              <w:spacing w:line="360" w:lineRule="auto"/>
              <w:rPr>
                <w:rStyle w:val="737"/>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0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挡土墙、护坡、调治构造物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开裂、破损、塌陷、倾斜等</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19"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上部结构、下部结构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83" w:type="dxa"/>
            <w:vAlign w:val="center"/>
            <w:textDirection w:val="lrTb"/>
            <w:noWrap w:val="false"/>
          </w:tcPr>
          <w:p>
            <w:pPr>
              <w:jc w:val="center"/>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异常变化、缺陷、变形、沉降、位移等</w:t>
            </w:r>
            <w:r/>
          </w:p>
        </w:tc>
      </w:tr>
    </w:tbl>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（2）检查在城市桥梁安全保护区域内是否存在以下情况：</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①在桥面上停车（交通管制等特殊情况除外）、试刹车。</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②利用桥涵设施进行牵拉、吊装，在桥涵范围内燃放烟花爆竹和明火作业。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③擅自设置广告、声屏障等设施。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④破坏、增设、变更或者移动桥涵的附属设施。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⑤设摊经营、违章搭建建（构）筑物。</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⑥在桥涵引道、边坡挖坑取土，倾倒垃圾等废弃物。</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⑦未采取安全保护措施，从事河道疏浚、河道挖掘、建筑打桩、地下管道顶进、爆破等作业。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⑧未经行政主管部门审批的临时占用。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⑨其他损害、侵占、盗窃桥涵设施的行为。</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（3）城市桥梁限载标志及交通标志设施等各类标志完好情况。</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（4）其他较明显的损坏及不正常现象。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2、巡视要求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（1）巡视范围：结构变异、桥梁及桥梁安全保护区域作业情况和桥面系、限载标志、限高标志、交通标志及其他附属设施等状况。</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（2）日常巡检应由经过培训的专职桥梁管理人员或有一定经验的技术人员负责。</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（3）日常巡检应填写城市桥梁日常巡检报表，登记所检查桥梁病害的损坏类型、损坏程度、损坏位置等，提出相应的维护措施。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（4）日常巡检检查记录应定期整理归档，并提出评价意见。当巡检过程中发现设施明显损坏，影响车辆和行人安全时，应立即设置警示标志，及时向采购人报告，并应采取相应维护措施。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（5）日常巡检情况需配合采购人及时录入相关系统。</w:t>
      </w:r>
      <w:r/>
    </w:p>
    <w:p>
      <w:pPr>
        <w:pStyle w:val="704"/>
        <w:ind w:firstLine="48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（6）日常巡检工作需服从采购人的管理，配合采购人做好各类临时安排的巡检工作。</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（四）市政设施日常维护作业内容及要求：</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一）作业内容</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（1）上部结构维护：</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1、桥面部分：</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①桥面坑洼、下沉的填补翻修，沥青铺设；</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②麻面、拥包、龟裂、角裂、啃边、翻浆、纵横缝等病害的处理；</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③桥面伸缩缝和其它裂缝的清理，并做好灌、封处理及重新灌注填缝料；</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④桥面日常小修保养；</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2、桥梁伸缩缝：</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①桥面伸缩缝的清理与更换伸缩缝胶条；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②桥面伸缩缝破损的进行更换伸缩缝、伸缩缝钢纤维混凝土重新浇筑；</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3、钢结构梁：</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①对各部分连接节点及杆件铆钉、消栓、焊缝进行检查、维护。承载能力或刚度低于限值等结构不良的钢结构，应维修或加固。</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②外光清洁，冬季应及时清楚冰雪。桥面积水应查明原因，及时处置。</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③钢结构应每年保养一次。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④结构定期检测时，应对现场拼接焊缝等关键部位焊缝进行无损探伤检查。</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⑤钢箱梁应定期检查内部空间积水情况，当有积水时应查清原因，并及时维修。</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4、钢-混凝土组合梁</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①梁桥面板不得有纵向劈裂裂缝。每季度检查一次。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②桥面横向裂缝每季度检查一次。在连续组合梁支座及其附近的桥面板，不应有裂缝和渗漏水，应加强对其结合部位的保养维修。</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③组合梁结合面不得有相对滑移和开裂。钢梁与混凝土桥面板之间的剪力连接件应完好无损，不得有纵向滑移及掀起。压型钢板组合桥面板支撑处及板肋不得变形，板肋与连接件附近的混凝土不得有疲劳裂缝。</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（2）下部结构维护：</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1、支座：</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①支座各部分应完整、清洁、有效，支座垫板应平整、紧密、锚固牢固。支座周边应干燥、洁净，无积水、油污。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②支座应每半年检查、清扫一次，应每年维护一次。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③支座维护前应检查支座状况，并应与前一次检查维护结果进行比较，并留存记录。</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④固定支座应检查锚栓的坚固性，支承垫板应平整紧密。</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⑤支座外露金属构件不得锈蚀，应定期清洁、除锈、刷防锈漆，但铰轴、辊轴、不锈钢滑动面处不得涂刷油漆。局部除锈刷漆颜色宜和原色一致，整体除锈刷漆颜色宜和梁体颜色一致。</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⑥滑移的支座应及时复位，损坏或状态达不到设计使用要求的支座应及时更换。</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⑦支座周边积水应检查积水原因，及时处理，必要时可做散水坡。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2、墩台：</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①墩台表面应清洁，并应及时清除青苔、杂草、荆棘和污秽。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②当圬工砌体表面部分严重风化和损坏时，应清除损坏部分后用原结构物相同材料补砌，应结合牢固，色泽和质地宜与原砌体一致。</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③当圬工砌体表面灰缝脱落时，应清除缝内污垢杂物后重新勾缝。</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④当混凝土表面发生侵蚀剥落和蜂窝麻面等病害时，应及时将周围凿毛洗净后进行表面防护。</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⑤当立交桥墩靠近机动车道时，应在桥墩四周设置防撞设施。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⑥对易受流冰、漂浮物和船只撞击影响的跨河桥墩，应在桥墩上游设置破冰体或防撞措施。河床上的漂浮物和沉积物，当对桥梁安全构成威胁时，应及时清理。</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3、基础:</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①桥梁基础和地基应完整、稳定。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②跨河桥梁墩台基础附近的河床应稳定。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③当在桥梁桩基或浅埋基础的影响范围内埋设地下管线、各种窨井、地下构筑物时，应经计算采取加固措施后，再作业。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④当桥梁基础出现冲刷过深或局部掏空时，应及时抛填块石、片石、钢丝石笼等进行维护。必要时应在基础四周加设防护设施，或灌注水下混凝土。</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⑤当严寒地区的桩基出现浅桩冻拔或深桩环状冻裂状况时，应在冰冻开始前进行保温防护。</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⑥当墩台变位所产生的附加内力影响到桥梁的正常使用和安全时，或桥梁墩台基础自身结构出现大的缺损使承载力不够时，必须进行加固处理。</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（3）附属设施维护：</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1、声屏障：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①综合技术指标须达到国家相关行业产品标准、规定。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声学性能良好，高效吸声降噪，吸声材料的吸声性能按GBJ47-1983《混响室法吸声系数测量规范》测定，在125HZ，250HZ，500HZ，1000HZ，2000HZ，及4000HZ等频率下，吸声系数应分别不低于0.25，0.40，0.80，0.85,0.95;声屏障隔声量按GBJ75-1984《建筑隔声测量规范》测定,应不低于30dB。</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②吸声材料防火性能按GBJ624-1997《建筑材料燃烧性能分级方法》测定应为A级。 </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③吸声材料应耐冻融；耐冻融性能按149-2003《膨胀聚苯板薄抹灰外墙外保温系统》中3.2.4耐冻融实验方式进行，循环30次后试件应无剥落、开裂、起层等现象。 </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④吸声材料应耐腐蚀、耐老化；能在露天环境裸露使用；耐高低温、抗酸碱侵蚀；吸声材料耐候性能按JG149-2003《膨胀聚苯板薄抹灰外墙外保温系统》中附录C的实验方法测定，实验后，试件表面应无裂纹、粉化、剥落等现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⑤吸声材料是影响降噪效果的主要因素，所以，很好的选择材料是至关重要的。综合考虑各种因素，要达到好的吸声降噪效果，同时又要有很好的物理性能及力学强度、耐候性，还要价格合理，所以本项目选择离心玻璃棉板，密度为48kg/m3,这种离心玻璃棉具有容重轻，憎水性优良，吸声系数高，属于不燃物等优点。</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声屏障承接的主要载荷是按1200N/㎡设计,对于声屏障需校核钢立柱的强度、地脚螺栓的强度。</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立柱强度：立柱在风压下承受剪切和弯矩，本项目选用的立柱，对立柱进行受力分析后发现立柱的底端是危险截面，承受较大的剪应力和弯矩，经校核本设计选用的立柱能满足强度要求。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地脚螺栓采用M22不锈钢螺栓，耐候环氧胶树脂粘合剂或耐温湿高强度植筋胶。单个螺栓最终抗拔力应在现场先做试验确定，其值不得小于100KN。</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声屏障连接系统要求 ：金属吸音板与下罩板连接处须布置加固条，再进行锚固连接。单元屏体之间、声屏障屏体与钢立柱的连接应紧密、可靠。连接处应贴热缩弹性体材料，以保证隔声性能良好。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2、防撞护栏（挡墙）</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①防撞护栏（挡墙）的清洗；</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②防撞护栏（挡墙）缺损、裂缝、剥落的修补；</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③防撞护栏（挡墙）露筋，凿除露筋部分混凝土保护层，使锈蚀钢筋全部外露，对钢筋表面进行除锈，涂刷防锈漆，采用极细砂浆修补凿除的保护层，挂抹平顺；</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3、排水设施附属物:</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①桥梁落水管通疏通，对桥面堵塞的泄水孔进行疏通，保证桥面雨水顺利排</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②桥梁落水管管件丢失、管道破损，按要求对管件、管道进行安装、更换加固，做到管件、管道与现状相配套、吻合，安装平稳。</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4、附属设施：对桥梁服务设施、波形护栏等相应配套附属设施的损坏、受污进行必要的修理、更换与清洁工作。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5、临时交办的其他附属设施相关工作。</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二）作业要求：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1、按照住建部《城市桥梁养护技术标准》（CJJ99-2017）,维护单位必须制定维护质量保证体系，严格质量操作流程；</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2、按月制定维护计划，并依据设施日常巡视情况适时调整。维护单位针对实际情况、维护要求和维护作业特点，定期上报维护实施计划。所有维护作业一律采取先申请后实施，以采购单位批准为准；</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3、对有关维护项目，维护承包单位须上报维护组织方案，严格按照维护作业技术要求完成工作；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4、涉及破除、修复路面等维护项目，按苏州市有关规定办理相关手续。</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5、维护作业现场做好安全警示和作业围挡，遵守维护作业规范与相关管理要求，做到文明作业；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6、若因承包单位工作不力而出现媒体曝光、上级通报、点名批评，造成重大影响的，视情节轻重，一次处以5000-20000元的罚款；</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7、维护单位应及时响应采购单位检查发现问题的整改，并落实回复。</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8、维护工作安全要求：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8.1维护队伍必须加强管理，遵守作业现场的一切规章制度，文明作业，注意安全，一切伤亡事故由维护单位负全责；</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8.2因维护作业导致的其他设施损坏，应由维护单位负责修复及承担一切费用；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8.3维护期间过程中，维护单位负责及时清理垃圾。</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8.4服务过程中注意保护现场已存在的公共设施，如有损坏必须由维护单位负责恢复或赔偿。</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8.5维护单位须为维护人员配备印有维护单位名称的现场作业安全服或反光背心，现场作业时应明示安全警示标志和作业围挡。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8.6项目实施过程中，维护单位不得将作业材料/设备与人员共用一辆车辆运输，不得违反相关道路交通法规。  </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9、维护中使用的原材料、成品、半成品等必须质量合格，经检测发现不合格的工作内容不予计量。</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10、维护项目维修完成后，应适时进行跟踪观察和监测，了解处置效果。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注：如遇突发事件，须有配套维修机具设备及工作人员在30分钟内到场应急处理，并服从招标单位现场指挥。</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（五）市政设施应急管理作业内容及要求：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（1）基本要求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为全面提高处理各类突发事件的应对能力，确保市政设施的安全运行，保证在发生意外突发事件时，管养单位能及时、有效地处理各类突发事件，最大限度地减少国家、人民财产损失和人员伤亡，保障交通安全畅通，尽快恢复社会秩序，中标单位应当制定切实有效的应急预案，同时应当做到：</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1、实行24小时待命，保持各类通讯渠道的畅通；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2、根据采购人作出的应急预案决定，立即赴现场开展抢险工作；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3、及时向采购人报告处理突发事件进展情况，特大事故、事件每30分钟上报一次；</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4、根据突发事件的种类和特点建立监测网络，对突发事件的进展进行跟踪监测和现场查勘；</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5、如有紧急情况，应及时向采购人汇报，以便及时制定应急措施；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6、各车辆必须做好日常保养，保证水、电、油充足，确保正常运行；</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7、各类抢险抗灾所需的车辆，包括自卸车、装载车、挖掘车、推土机等24小时待命，以应对各类突发事件；</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8、各类建筑材料、消防灭火器材、防滑防冻材料、融雪剂、排水设施、交通护栏、夜间照明设备、卡车、洋镐、铁楸、清扫用具等物资准备到位，以备应急抢险使用；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9、加强应急演练，进一步熟悉《中华人民共和国安全生产法》、《中华人民共和国突发事件应对法》、《国家突发公共事件总体应急预案》、《建设工程质量管理条例》、《建设工程安全生产管理条例》、《建设部城市桥梁重大事故应急预案》、《江苏省突发公共事件总体应急预案》、《江苏省住房建设厅城市桥梁重大事故应急预案（修订）》、《江苏省突发事件应急预案管理办法》、《苏州市城市桥梁突发事件应急预案》、《生产经营单位安全事故应急预案编制导则》等法律法规及有关规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（2）应急响应具体情况和抢险救援措施</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桥梁因船只、车辆撞击或超载车过桥导致桥梁的上部或下部结构的损坏、裂缝、位移等情况；桥梁运营、巡查发现桥梁结构出现较大裂缝、严重位移等情况；桥台驳岸出现较大开裂、位移、坍塌等情况；检测发现桥梁承载力不满足设计或使用要求等，启动Ⅱ级响应预警。</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应急响应措施：①立即设置安全警示标志，做好现场的封闭和围护；②摸清过桥管线和设施情况，查明桥梁损坏原因和影响范围；③研究确定抢险维修方案；④尽快组织桥梁的修复工作。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2、因外力作用使得桥梁护栏缺失、限高限行设施损坏；高架桥落水管掉落、声屏障倾倒等情况，启动Ⅲ级响应预警。</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应急响应措施：①立即出动应急队伍，设置安全警示标志，做好现场的围护；②按照日常维护方法，立即组织维修工作。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灾害气候的应急按照《防汛防台应急预案》、《雨雪灾害性天气应急预案》等采购人制定的相关应急制度进行处置。</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（六）服务人员、车辆配备要求：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1、服务人员要求：</w:t>
      </w:r>
      <w:r/>
    </w:p>
    <w:tbl>
      <w:tblPr>
        <w:tblStyle w:val="703"/>
        <w:tblW w:w="90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5"/>
        <w:gridCol w:w="1791"/>
        <w:gridCol w:w="945"/>
        <w:gridCol w:w="5499"/>
      </w:tblGrid>
      <w:tr>
        <w:trPr>
          <w:jc w:val="center"/>
          <w:trHeight w:val="62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91"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99"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备注</w:t>
            </w:r>
            <w:r/>
          </w:p>
        </w:tc>
      </w:tr>
      <w:tr>
        <w:trPr>
          <w:jc w:val="center"/>
          <w:trHeight w:val="75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91"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99"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市政、道桥、土木类等相关专业，具有市政公用工程二级（含）建造师证书和安全员B证</w:t>
            </w:r>
            <w:r/>
          </w:p>
        </w:tc>
      </w:tr>
      <w:tr>
        <w:trPr>
          <w:jc w:val="cente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91"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99"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具备市政、道桥、土木类等相关专业高级（含）以上职称</w:t>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91"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安全负责人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99"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具备安全员B证</w:t>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91"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现场管理人员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5"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99" w:type="dxa"/>
            <w:vAlign w:val="center"/>
            <w:textDirection w:val="lrTb"/>
            <w:noWrap w:val="false"/>
          </w:tcPr>
          <w:p>
            <w:pPr>
              <w:jc w:val="center"/>
              <w:spacing w:line="360" w:lineRule="auto"/>
              <w:widowControl/>
              <w:rPr>
                <w:rStyle w:val="737"/>
                <w:rFonts w:ascii="宋体" w:hAnsi="宋体" w:cs="宋体"/>
                <w:color w:val="auto"/>
                <w:sz w:val="24"/>
                <w:highlight w:val="none"/>
              </w:rPr>
            </w:pPr>
            <w:r>
              <w:rPr>
                <w:rFonts w:hint="eastAsia" w:ascii="宋体" w:hAnsi="宋体" w:cs="宋体"/>
                <w:color w:val="auto"/>
                <w:sz w:val="24"/>
                <w:highlight w:val="none"/>
              </w:rPr>
              <w:t xml:space="preserve">具备市政、道桥、土木类等专业初级（含）以上职称，其中一名具有安全员C证及以上的安全员。</w:t>
            </w:r>
            <w:r/>
          </w:p>
        </w:tc>
      </w:tr>
    </w:tbl>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（1）投标人承担所有作业服务人员及管理人员的安全责任及费用。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（2）投标人应为作业服务人员提供工作服及必要的劳动防护用品。</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（3）服务期内采购人根据工作需要召开会议，中标人的法定代表人或项目负责人必须准时参加。</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注：提供上述人员在投标单位的劳动合同等相关证明材料，否则视为未实质性响应。所有作业服务人员一经确定不得随意变更，如更换需提前1个月向采购人提出书面申请。如项目组成员不能胜任本项目，则招标人可提前1个月向中标单位提出更换要求，中标单位必须及时响应更换服务人员。</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2、作业车辆配备要求：</w:t>
      </w:r>
      <w:r/>
    </w:p>
    <w:tbl>
      <w:tblPr>
        <w:tblStyle w:val="703"/>
        <w:tblW w:w="90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5"/>
        <w:gridCol w:w="4290"/>
        <w:gridCol w:w="1540"/>
        <w:gridCol w:w="2405"/>
      </w:tblGrid>
      <w:tr>
        <w:trPr>
          <w:jc w:val="center"/>
          <w:trHeight w:val="4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车辆名称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5"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b/>
                <w:bCs/>
                <w:color w:val="auto"/>
                <w:sz w:val="24"/>
                <w:highlight w:val="none"/>
              </w:rPr>
              <w:t xml:space="preserve">备注</w:t>
            </w:r>
            <w:r/>
          </w:p>
        </w:tc>
      </w:tr>
      <w:tr>
        <w:trPr>
          <w:jc w:val="center"/>
          <w:trHeight w:val="43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皮卡巡视车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5" w:type="dxa"/>
            <w:vAlign w:val="center"/>
            <w:vMerge w:val="restart"/>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采用符合采购人要求的市政维护专业车辆。</w:t>
            </w:r>
            <w:r/>
          </w:p>
        </w:tc>
      </w:tr>
      <w:tr>
        <w:trPr>
          <w:jc w:val="center"/>
          <w:trHeight w:val="3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小型运输车辆（5吨以下）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405" w:type="dxa"/>
            <w:vAlign w:val="center"/>
            <w:vMerge w:val="continue"/>
            <w:textDirection w:val="lrTb"/>
            <w:noWrap w:val="false"/>
          </w:tcPr>
          <w:p>
            <w:pPr>
              <w:jc w:val="center"/>
              <w:widowControl/>
              <w:rPr>
                <w:rStyle w:val="737"/>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防撞车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405" w:type="dxa"/>
            <w:vAlign w:val="center"/>
            <w:vMerge w:val="continue"/>
            <w:textDirection w:val="lrTb"/>
            <w:noWrap w:val="false"/>
          </w:tcPr>
          <w:p>
            <w:pPr>
              <w:jc w:val="center"/>
              <w:widowControl/>
              <w:rPr>
                <w:rStyle w:val="737"/>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高空作业车（高空作业可达到20m）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405" w:type="dxa"/>
            <w:vAlign w:val="center"/>
            <w:vMerge w:val="continue"/>
            <w:textDirection w:val="lrTb"/>
            <w:noWrap w:val="false"/>
          </w:tcPr>
          <w:p>
            <w:pPr>
              <w:jc w:val="center"/>
              <w:widowControl/>
              <w:rPr>
                <w:rStyle w:val="737"/>
                <w:rFonts w:ascii="宋体" w:hAnsi="宋体" w:cs="宋体"/>
                <w:color w:val="auto"/>
                <w:sz w:val="24"/>
                <w:highlight w:val="none"/>
              </w:rPr>
            </w:pPr>
            <w:r>
              <w:rPr>
                <w:rFonts w:ascii="宋体" w:hAnsi="宋体" w:cs="宋体"/>
                <w:color w:val="auto"/>
                <w:sz w:val="24"/>
                <w:highlight w:val="none"/>
              </w:rPr>
            </w:r>
            <w:r/>
          </w:p>
        </w:tc>
      </w:tr>
      <w:tr>
        <w:trPr>
          <w:jc w:val="cente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5"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疏通车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0" w:type="dxa"/>
            <w:vAlign w:val="center"/>
            <w:textDirection w:val="lrTb"/>
            <w:noWrap w:val="false"/>
          </w:tcPr>
          <w:p>
            <w:pPr>
              <w:jc w:val="center"/>
              <w:widowControl/>
              <w:rPr>
                <w:rStyle w:val="737"/>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405" w:type="dxa"/>
            <w:vAlign w:val="center"/>
            <w:vMerge w:val="continue"/>
            <w:textDirection w:val="lrTb"/>
            <w:noWrap w:val="false"/>
          </w:tcPr>
          <w:p>
            <w:pPr>
              <w:jc w:val="center"/>
              <w:widowControl/>
              <w:rPr>
                <w:rStyle w:val="737"/>
                <w:rFonts w:ascii="宋体" w:hAnsi="宋体" w:cs="宋体"/>
                <w:color w:val="auto"/>
                <w:sz w:val="24"/>
                <w:highlight w:val="none"/>
              </w:rPr>
            </w:pPr>
            <w:r>
              <w:rPr>
                <w:rFonts w:ascii="宋体" w:hAnsi="宋体" w:cs="宋体"/>
                <w:color w:val="auto"/>
                <w:sz w:val="24"/>
                <w:highlight w:val="none"/>
              </w:rPr>
            </w:r>
            <w:r/>
          </w:p>
        </w:tc>
      </w:tr>
    </w:tbl>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其相关的油料、保养费用、维修费用、保险费用等一切费用由中标单位负责，并且在设备使用期间中标单位需提供人员配合作业。采购单位有权在采购单位范围内调配车辆的使用，中标单位需（含操作人员）配合。</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投标人如为本项目配备了相关现自有或租赁车辆设备的、设备为现自有的，须在表后附上车辆行驶证（包括行驶证上车辆彩色照片）、机动车登记证书、车辆购买发票扫描件。设备为租赁的，须在表后附上服务有效期内的租赁合同复印件。</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3、设备为承诺自有或租赁车辆的，须在表后附上承诺函原件扫描件。若中标，中标单位须在合同签订当天向采购人提供自有或租赁的车辆资料。</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4、投标人所配备的车辆设备应具备管养范围内所有高架、跨线桥梁的通行资格。须在投标文件中提供承诺函，承诺在中标后向采购人提供车辆通行证件。</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5、投标单位所提供的车辆设备必须符合现行环保要求，车辆检验合格方可上路作业；因国家及地方相关法律、法规及标准调整而不符合上路要求的车辆，中标人须无条件更换。</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6、中标人所配备的车辆设备务必保证机械完好率达100%,如因保养、维修等原因不能进行当日管养，可最迟于次日，调以同等使用性能的机械进场作业，影响管养工作的，按《考核表》处理，若车辆设备经维修后仍无法满足管养要求的，承包人应及时进行更换。</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7、中标人如需更换本项目专用车辆（设备），应向采购方提出书面申请，经采购方批准后方可进行更换，所更换车辆（设备）的型号、参数、性能等不得低于其投标文件承诺，且机动车登记证书的初次登记日期不得早于被更换车辆。</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8、车辆外观要求标识统一，中标后，需按采购方要求进行车辆涂装，相关费用包含于投标报价内。</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（七）其他要求：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1、中标人需严格按照采购人制定的《维护管理制度》开展日常工作。</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2、中标人需提前做好人员培训，安排人员熟悉场地及日常工作流程，确保交接工作顺利进行。</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3、因中标人管理不善，造成工作范围内的设施、设备等损坏的，由直接责任人赔偿，若直接责任人因故无法赔偿的，采购单位有权要求中标单位赔偿损失。</w:t>
      </w:r>
      <w:r/>
    </w:p>
    <w:p>
      <w:pPr>
        <w:ind w:firstLine="482"/>
        <w:spacing w:line="360" w:lineRule="auto"/>
        <w:rPr>
          <w:rStyle w:val="737"/>
          <w:rFonts w:ascii="宋体" w:hAnsi="宋体" w:cs="宋体"/>
          <w:color w:val="auto"/>
          <w:sz w:val="24"/>
          <w:highlight w:val="none"/>
        </w:rPr>
      </w:pPr>
      <w:r>
        <w:rPr>
          <w:rFonts w:hint="eastAsia" w:ascii="宋体" w:hAnsi="宋体" w:cs="宋体"/>
          <w:b/>
          <w:bCs/>
          <w:color w:val="auto"/>
          <w:sz w:val="24"/>
          <w:highlight w:val="none"/>
        </w:rPr>
        <w:t xml:space="preserve">（八）综合说明：</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1、各供应商提供的服务能够至少达到招标文件要求，如果其中某些条款不响应时，应在文件中逐条列出，未列出的视同响应。</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2、投标人需在投标文件中明确服务内容和服务方案。</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3、投标人应对所投项目的全部内容进行报价，只投其中部分内容者或出现选择性报价的，其投标文件将被拒绝。</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4、其他要求：</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4.1供应商在项目进行过程中产生的任何安全、损坏等责任事故一律由供应商自行承担。</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4.2供应商需严格按采购文件的约定完成工作内容，如在实施的过程中出现错误、误差、质量不合格的，供应商需及时更正至采购人确认并验收合格。</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4.3本项目不允许转包、分包，发现查实者一律取消合同。</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4.4供应商应对服务危险性、潜在危险认真考虑周全，对所有项目安全负责，并承担由此可能产生的一切费用，采购人不承担任何责任。</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4.5本项目中设施维护部分，除因人为因素、不可抗力等原因造成损坏，否则同一部位同一工作内容服务期内不重复计量。</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4.6若中标人在服务管理期间，违反下列规定将被解除服务合同：</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①将服务项目全部转包他人；</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②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或出现其它重大违规违约情形的。</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5、投标单位应自行现场踏勘以充分了解维护区域位置、情况、桥梁、排水、沿线安全设施、储存空间、装卸限制及任何其他足以影响投标报价的情况，任何因忽视或误解维护区域现场情况而导致的索赔或工期延长申请将不被批准；投标单位踏勘现场，充分考虑现场实际情况及项目概况要求中提及的各项费用。中标后，中标单位不得以任何形式以不了解现场情况为由提出费用调整，结算时不予调整。</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6、下列各项费用应包含在投标报价中：</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(1)完成本服务项目所需的一切费用；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(2)本项目巡视费用按月包干，供应商应当结合工作内容及要求，充分考虑投入人员、车辆、设备等产生的费用，巡视人员需配备的终端（安卓系统智能手机）费用；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(3)本项目应急管理费用按月包干，供应商应当结合工作内容及要求，充分考虑应急人员（含联络人员、作业人员、值班人员等）、24小时待命车辆及设备（含机驾人员）等产生的费用，应当考虑应急演练费用；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(4)预算编制工作量按暂估数量计入，结算时根据现场发生实际数量调整；</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(5)本项目所有余方弃置运输必须满足政府相关文件要求，运距包干，弃土点堆置场地自行落实。</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(6) 高架维护作业拆除废料全部由中标供应商按要求外运弃置，需包含垃圾外运费用，倾倒地点应符合苏州市的规定。</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(7)维护所需混凝土采用商品砼。</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(8)本项目所产生的一切水电费用，由中标单位自行承担；</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(9)作业范围内障碍物的清除、外运费用； </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(10)运输线路上的道路维护、保洁费用；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(11)建筑物、构筑物、地下及地上管道和杆线、古树名木等场内外原有设施的排险加固费用；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(12)为保证安全作业及过往行人、车辆的安全通行实施的围栏、硬化、保卫、看护、夜间照明等措施工作；发生任何事故所需承担的一切责任及义务均由中标单位承担；</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(13)根据苏州市有关规定办理相关申请、审批、保证、批准手续所需的费用；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(14)因维护作业造成的周边的设施、设备及其他附属物的污染、破损，维护单位进行复原产生的费用。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(15)通过现场踏勘，作为有经验的供应商可预见的其他一切工作内容所需的费用。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(16)清单标注库存料的应当考虑材料从采购人仓库运输至维护作业现场的运输费用。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(17)交通执勤费是在专项维护过程中，按交警部门要求配置一定数量的安保人员，并配合交警进行交通秩序管理的费用，零星维护及交警部门未要求配备交通秩序管理人员的专项维护不计此费用，但中标单位仍需做好现场交通引导工作并在对应的清单内考虑相关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(18)投标单位须考虑夜间及节假日维护作业措施费用。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(19)中标单位须为本项目维护设施缴纳公众责任保险，费用须包含在投标报价中。</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(20)因审计核减率高于7%产生的超额审计费用。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(21)维护维修中使用的原材料、成品、半成品等，若经第三方检测机构检测结果不合格，检测费用由中标单位承担。</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(22)其他完成本项目全部服务内容所产生的费用。</w:t>
      </w:r>
      <w:r/>
    </w:p>
    <w:p>
      <w:pPr>
        <w:ind w:firstLine="480"/>
        <w:spacing w:line="360" w:lineRule="auto"/>
        <w:rPr>
          <w:rStyle w:val="737"/>
          <w:rFonts w:ascii="宋体" w:hAnsi="宋体" w:cs="宋体"/>
          <w:color w:val="auto"/>
          <w:sz w:val="24"/>
          <w:highlight w:val="none"/>
        </w:rPr>
      </w:pPr>
      <w:r>
        <w:rPr>
          <w:rFonts w:hint="eastAsia" w:ascii="宋体" w:hAnsi="宋体" w:cs="宋体"/>
          <w:color w:val="auto"/>
          <w:sz w:val="24"/>
          <w:highlight w:val="none"/>
        </w:rPr>
        <w:t xml:space="preserve">7、服务地点：采购人指定地点。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8、履约验收方案：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（1）验收依据</w:t>
      </w:r>
      <w:r/>
    </w:p>
    <w:p>
      <w:pPr>
        <w:ind w:firstLine="480"/>
        <w:spacing w:line="360" w:lineRule="auto"/>
        <w:rPr>
          <w:rFonts w:ascii="宋体" w:hAnsi="宋体" w:cs="宋体"/>
          <w:color w:val="auto"/>
          <w:sz w:val="24"/>
          <w:highlight w:val="none"/>
        </w:rPr>
      </w:pPr>
      <w:r>
        <w:rPr>
          <w:rFonts w:hint="eastAsia" w:ascii="MS Mincho" w:hAnsi="MS Mincho" w:eastAsia="MS Mincho" w:cs="MS Mincho"/>
          <w:color w:val="auto"/>
          <w:sz w:val="24"/>
          <w:highlight w:val="none"/>
        </w:rPr>
        <w:t xml:space="preserve">‌</w:t>
      </w:r>
      <w:r>
        <w:rPr>
          <w:rFonts w:hint="eastAsia" w:ascii="宋体" w:hAnsi="宋体" w:cs="宋体"/>
          <w:color w:val="auto"/>
          <w:sz w:val="24"/>
          <w:highlight w:val="none"/>
        </w:rPr>
        <w:t xml:space="preserve">法规标准</w:t>
      </w:r>
      <w:r>
        <w:rPr>
          <w:rFonts w:hint="eastAsia" w:ascii="MS Mincho" w:hAnsi="MS Mincho" w:eastAsia="MS Mincho" w:cs="MS Mincho"/>
          <w:color w:val="auto"/>
          <w:sz w:val="24"/>
          <w:highlight w:val="none"/>
        </w:rPr>
        <w:t xml:space="preserve">‌</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住建部《城市桥梁养护技术标准》CJJ99-2017；</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住建部《城市桥梁工程施工与质量验收规范》CJJ 2-2008；</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《苏州市市政设施管理条例》（2016年）；</w:t>
      </w:r>
      <w:r/>
    </w:p>
    <w:p>
      <w:pPr>
        <w:pStyle w:val="70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以及国家及各级人民政府、行政主管部门有关专业的现行标准、规范、规程。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（2）验收组织架构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①招标单位随机安排工作人员监督关键工序。重点环节可留存影像资料，以便后期责任追根溯源。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②采购单位派负责人或邀请行业内专家组成验收专家小组进行验收。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③中标单位提供完整自检资料、服务期间工作证明材料，配合检测与验收</w:t>
      </w:r>
      <w:r>
        <w:rPr>
          <w:rFonts w:hint="eastAsia" w:ascii="MS Mincho" w:hAnsi="MS Mincho" w:eastAsia="MS Mincho" w:cs="MS Mincho"/>
          <w:color w:val="auto"/>
          <w:sz w:val="24"/>
          <w:highlight w:val="none"/>
        </w:rPr>
        <w:t xml:space="preserve">‌</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④采购单位根据项目实际情况，可委托第三方检测机构对维护情况进行阶段性检测并出具报告。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待项目到验收环节，确定验收小组，可包含采购方代表（负责合同条款核对）、专家或其他技术人员（技术服务标准检测）、监管单位（政府监管部门或其他部门）、第三方检测机构（争议项仲裁），具体验收团队组成人员按项目实际情况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（3）现场验收重点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1、人员签到：在采购方指定地点集合，进行人员签到，核对验收小组人员信息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合同执行情况检查</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：核查</w:t>
      </w:r>
      <w:r>
        <w:rPr>
          <w:rFonts w:hint="eastAsia" w:ascii="宋体" w:hAnsi="宋体" w:cs="宋体"/>
          <w:color w:val="auto"/>
          <w:sz w:val="24"/>
          <w:highlight w:val="none"/>
        </w:rPr>
        <w:t xml:space="preserve">项目</w:t>
      </w:r>
      <w:r>
        <w:rPr>
          <w:rFonts w:ascii="宋体" w:hAnsi="宋体" w:cs="宋体"/>
          <w:color w:val="auto"/>
          <w:sz w:val="24"/>
          <w:highlight w:val="none"/>
        </w:rPr>
        <w:t xml:space="preserve">是否按合同要求完成。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资料审查</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：检查</w:t>
      </w:r>
      <w:r>
        <w:rPr>
          <w:rFonts w:hint="eastAsia" w:ascii="宋体" w:hAnsi="宋体" w:cs="宋体"/>
          <w:color w:val="auto"/>
          <w:sz w:val="24"/>
          <w:highlight w:val="none"/>
        </w:rPr>
        <w:t xml:space="preserve">服务期间的工作档案记录</w:t>
      </w:r>
      <w:r>
        <w:rPr>
          <w:rFonts w:ascii="宋体" w:hAnsi="宋体" w:cs="宋体"/>
          <w:color w:val="auto"/>
          <w:sz w:val="24"/>
          <w:highlight w:val="none"/>
        </w:rPr>
        <w:t xml:space="preserve">、</w:t>
      </w:r>
      <w:r>
        <w:rPr>
          <w:rFonts w:hint="eastAsia" w:ascii="宋体" w:hAnsi="宋体" w:cs="宋体"/>
          <w:color w:val="auto"/>
          <w:sz w:val="24"/>
          <w:highlight w:val="none"/>
        </w:rPr>
        <w:t xml:space="preserve">服务总结</w:t>
      </w:r>
      <w:r>
        <w:rPr>
          <w:rFonts w:ascii="宋体" w:hAnsi="宋体" w:cs="宋体"/>
          <w:color w:val="auto"/>
          <w:sz w:val="24"/>
          <w:highlight w:val="none"/>
        </w:rPr>
        <w:t xml:space="preserve">报告、</w:t>
      </w:r>
      <w:r>
        <w:rPr>
          <w:rFonts w:hint="eastAsia" w:ascii="宋体" w:hAnsi="宋体" w:cs="宋体"/>
          <w:color w:val="auto"/>
          <w:sz w:val="24"/>
          <w:highlight w:val="none"/>
        </w:rPr>
        <w:t xml:space="preserve">采购</w:t>
      </w:r>
      <w:r>
        <w:rPr>
          <w:rFonts w:ascii="宋体" w:hAnsi="宋体" w:cs="宋体"/>
          <w:color w:val="auto"/>
          <w:sz w:val="24"/>
          <w:highlight w:val="none"/>
        </w:rPr>
        <w:t xml:space="preserve">单位的</w:t>
      </w:r>
      <w:r>
        <w:rPr>
          <w:rFonts w:hint="eastAsia" w:ascii="宋体" w:hAnsi="宋体" w:cs="宋体"/>
          <w:color w:val="auto"/>
          <w:sz w:val="24"/>
          <w:highlight w:val="none"/>
        </w:rPr>
        <w:t xml:space="preserve">考核表、中标单位提供的完整自检资料、服务期间工作证明材料、重点环节可留存影像资料（若有）</w:t>
      </w: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4、现场</w:t>
      </w:r>
      <w:r>
        <w:rPr>
          <w:rFonts w:hint="eastAsia" w:ascii="MS Mincho" w:hAnsi="MS Mincho" w:eastAsia="MS Mincho" w:cs="MS Mincho"/>
          <w:color w:val="auto"/>
          <w:sz w:val="24"/>
          <w:highlight w:val="none"/>
        </w:rPr>
        <w:t xml:space="preserve">‌</w:t>
      </w:r>
      <w:r>
        <w:rPr>
          <w:rFonts w:hint="eastAsia" w:ascii="宋体" w:hAnsi="宋体" w:cs="宋体"/>
          <w:color w:val="auto"/>
          <w:sz w:val="24"/>
          <w:highlight w:val="none"/>
        </w:rPr>
        <w:t xml:space="preserve">服务内容</w:t>
      </w:r>
      <w:r>
        <w:rPr>
          <w:rFonts w:ascii="宋体" w:hAnsi="宋体" w:cs="宋体"/>
          <w:color w:val="auto"/>
          <w:sz w:val="24"/>
          <w:highlight w:val="none"/>
        </w:rPr>
        <w:t xml:space="preserve">检查</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：对</w:t>
      </w:r>
      <w:r>
        <w:rPr>
          <w:rFonts w:hint="eastAsia" w:ascii="宋体" w:hAnsi="宋体" w:cs="宋体"/>
          <w:color w:val="auto"/>
          <w:sz w:val="24"/>
          <w:highlight w:val="none"/>
        </w:rPr>
        <w:t xml:space="preserve">服务现场</w:t>
      </w:r>
      <w:r>
        <w:rPr>
          <w:rFonts w:ascii="宋体" w:hAnsi="宋体" w:cs="宋体"/>
          <w:color w:val="auto"/>
          <w:sz w:val="24"/>
          <w:highlight w:val="none"/>
        </w:rPr>
        <w:t xml:space="preserve">进行检查，</w:t>
      </w:r>
      <w:r>
        <w:rPr>
          <w:rFonts w:hint="eastAsia" w:ascii="宋体" w:hAnsi="宋体" w:cs="宋体"/>
          <w:color w:val="auto"/>
          <w:sz w:val="24"/>
          <w:highlight w:val="none"/>
        </w:rPr>
        <w:t xml:space="preserve">包括结构安全、路面质量、排水系统、防护栏和声屏障等，并对所有缺陷作详细记录，具体现场检查重点如下: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①结构安全：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检查服务范围内高架上部结构、下部结构状态，是否存在异常变化、缺陷、变形、沉降、位移等情况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②路面质量：检查服务范围内高架路面平整度、抗滑性能，是否存在裂缝、坑槽等病害修复质量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③排水系统：检查服务范围内高架涉及到的排水设施畅通情况，是否存在泄水孔堵塞；排水设施缺损等情况。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④防护栏和声屏障等设施：检查其是否存在锈蚀、缺损、变形缝、松动、污秽、露筋、断裂、松动等情况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MS Mincho" w:hAnsi="MS Mincho" w:eastAsia="MS Mincho" w:cs="MS Mincho"/>
          <w:color w:val="auto"/>
          <w:sz w:val="24"/>
          <w:highlight w:val="none"/>
        </w:rPr>
        <w:t xml:space="preserve">‌</w:t>
      </w:r>
      <w:r>
        <w:rPr>
          <w:rFonts w:hint="eastAsia" w:ascii="宋体" w:hAnsi="宋体" w:cs="宋体"/>
          <w:color w:val="auto"/>
          <w:sz w:val="24"/>
          <w:highlight w:val="none"/>
        </w:rPr>
        <w:t xml:space="preserve">服务量</w:t>
      </w:r>
      <w:r>
        <w:rPr>
          <w:rFonts w:ascii="宋体" w:hAnsi="宋体" w:cs="宋体"/>
          <w:color w:val="auto"/>
          <w:sz w:val="24"/>
          <w:highlight w:val="none"/>
        </w:rPr>
        <w:t xml:space="preserve">核查</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w:t>
      </w:r>
      <w:r>
        <w:rPr>
          <w:rFonts w:hint="eastAsia" w:ascii="宋体" w:hAnsi="宋体" w:cs="宋体"/>
          <w:color w:val="auto"/>
          <w:sz w:val="24"/>
          <w:highlight w:val="none"/>
        </w:rPr>
        <w:t xml:space="preserve">核对采购人委托的第三方审计机构出具的审核材料与实际服务情况是否属实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验收结论</w:t>
      </w:r>
      <w:r>
        <w:rPr>
          <w:rFonts w:hint="eastAsia" w:ascii="MS Mincho" w:hAnsi="MS Mincho" w:eastAsia="MS Mincho" w:cs="MS Mincho"/>
          <w:color w:val="auto"/>
          <w:sz w:val="24"/>
          <w:highlight w:val="none"/>
        </w:rPr>
        <w:t xml:space="preserve">‌</w:t>
      </w:r>
      <w:r>
        <w:rPr>
          <w:rFonts w:ascii="宋体" w:hAnsi="宋体" w:cs="宋体"/>
          <w:color w:val="auto"/>
          <w:sz w:val="24"/>
          <w:highlight w:val="none"/>
        </w:rPr>
        <w:t xml:space="preserve">：对合同是否全面执行、</w:t>
      </w:r>
      <w:r>
        <w:rPr>
          <w:rFonts w:hint="eastAsia" w:ascii="宋体" w:hAnsi="宋体" w:cs="宋体"/>
          <w:color w:val="auto"/>
          <w:sz w:val="24"/>
          <w:highlight w:val="none"/>
        </w:rPr>
        <w:t xml:space="preserve">服务</w:t>
      </w:r>
      <w:r>
        <w:rPr>
          <w:rFonts w:ascii="宋体" w:hAnsi="宋体" w:cs="宋体"/>
          <w:color w:val="auto"/>
          <w:sz w:val="24"/>
          <w:highlight w:val="none"/>
        </w:rPr>
        <w:t xml:space="preserve">质量是否合格做出结论</w:t>
      </w:r>
      <w:r>
        <w:rPr>
          <w:rFonts w:hint="eastAsia" w:ascii="宋体" w:hAnsi="宋体" w:cs="宋体"/>
          <w:color w:val="auto"/>
          <w:sz w:val="24"/>
          <w:highlight w:val="none"/>
        </w:rPr>
        <w:t xml:space="preserve">，并签订结果意见情况</w:t>
      </w:r>
      <w:r>
        <w:rPr>
          <w:rFonts w:ascii="宋体" w:hAnsi="宋体" w:cs="宋体"/>
          <w:color w:val="auto"/>
          <w:sz w:val="24"/>
          <w:highlight w:val="none"/>
        </w:rPr>
        <w:t xml:space="preserve">。</w:t>
      </w:r>
      <w:r/>
    </w:p>
    <w:p>
      <w:pPr>
        <w:pStyle w:val="704"/>
        <w:ind w:firstLine="48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（4）违约情况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①乙方不能按期完成维护，或未达到甲方要求从而影响设施正常使用的，甲方有权解除合同。乙方应向甲方偿付合同总价款20%的违约金，违约金不足以补偿损失的甲方有权要求乙方补足。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②合同期间，若乙方不能提供维护服务的，或维护服务不合格从而影响甲方按期正常使用的，应向甲方偿付合同总价款20%的违约金，违约金不足以补偿损失的甲方有权要求乙方补足。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③乙方出现违约违规情况的，甲方有权单方解除本合同,且不承担违约和赔偿责任。造成甲方损失的，乙方应负赔偿责任。赔偿款甲方有权从乙方应得的价款中直接扣除，不足部分甲方有权向乙方追索。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（5）验收时间：甲方根据实际情况在合理时间内进行验收。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（6）服务工作量确认：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①维护费工作量由采购人委托第三方审计的方式进行结算，如有在清单范围外的工作内容，则由采购人委托第三方对单价、工作量一并进行审计。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管养费用由中标单位按月度进行汇总，并形成《结算书》，《结算书》按每3个月向采购人上报，由采购人委托第三方审计并出具结算审核报告，审核报告上的每月的审定金额即为当月维护服务费用，除固定费用外不再另行支付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（7）验收报告：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采购人在每季度付款前对中标单位的服务人员和车辆设备以及完成的工作量进行验收。付款时中标方需向采购方递交由供需双方及招标代理机构签章的《政府采购履约验收书》。</w:t>
      </w:r>
      <w:r/>
    </w:p>
    <w:p>
      <w:pPr>
        <w:pStyle w:val="959"/>
        <w:spacing w:line="360" w:lineRule="auto"/>
        <w:rPr>
          <w:rFonts w:ascii="宋体" w:hAnsi="宋体"/>
          <w:color w:val="auto"/>
          <w:sz w:val="24"/>
          <w:highlight w:val="none"/>
        </w:rPr>
      </w:pPr>
      <w:r>
        <w:rPr>
          <w:rFonts w:hint="eastAsia" w:ascii="宋体" w:hAnsi="宋体"/>
          <w:color w:val="auto"/>
          <w:sz w:val="24"/>
          <w:highlight w:val="none"/>
        </w:rPr>
        <w:t xml:space="preserve">四、其他要求</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1、投标采购文件提出的要求，并未对一切细节作出规定，也未充分引述全部有关标准和规范的条文，投标供应商提供的所有服务或产品（包括制造、安装、调试以及节能环保等）都应符合已颁布的现行中华人民共和国认可的（部颁、行业）标准和国际标准化组织以及等效或更优的其他国家的权威性标准和规范的有关条文。如果这些标准内容有矛盾时，应在满足标准时效性的前提下按最高标准的条款执行。</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2、投标供应商应对所要采购的全部内容（</w:t>
      </w:r>
      <w:r>
        <w:rPr>
          <w:rFonts w:ascii="宋体" w:hAnsi="宋体" w:cs="宋体"/>
          <w:color w:val="auto"/>
          <w:sz w:val="24"/>
          <w:highlight w:val="none"/>
        </w:rPr>
        <w:t xml:space="preserve">包括完成该项工作（含巡视、维护、应急抢险等）所列的服务管理内容及技术措施费、安全文明措施费、风险费、材料、机械设备、安装、养护作业范围内的建筑垃圾等杂物的清运费、废料处置费、人工（包括人员劳务费、加班费、福利费、社保等）、作业人员人身意外保险以及在从事该劳动过程中发生的其它费用（含法律法规应缴的费用）、公众责任保险、劳保、维护、代理服务费、利润、税金、政策性文件规定及合同包含的所有风险、责任等各项所有费用，并在服务期限内不受政策因素影响。</w:t>
      </w:r>
      <w:r>
        <w:rPr>
          <w:rFonts w:hint="eastAsia" w:ascii="宋体" w:hAnsi="宋体" w:cs="宋体"/>
          <w:color w:val="auto"/>
          <w:sz w:val="24"/>
          <w:highlight w:val="none"/>
        </w:rPr>
        <w:t xml:space="preserve">）进行报价，只响应其中部分内容者，其响应文件将被拒绝。每一项货物的报价均不得超过该项的最高限价单价。</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3、采购项目地点：采购方指定地点</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4、采购项目合同履行期限：2026年1月1日至2027年12月31日。（具体起始时间按采购方通知为准）</w:t>
      </w:r>
      <w:r>
        <w:rPr>
          <w:rFonts w:hint="eastAsia" w:ascii="宋体" w:hAnsi="宋体" w:cs="宋体"/>
          <w:color w:val="auto"/>
          <w:sz w:val="24"/>
          <w:highlight w:val="none"/>
          <w:lang w:val="zh-CN"/>
        </w:rPr>
        <w:t xml:space="preserve">。</w:t>
      </w:r>
      <w:r/>
    </w:p>
    <w:p>
      <w:pPr>
        <w:spacing w:line="360" w:lineRule="auto"/>
        <w:rPr>
          <w:color w:val="auto"/>
          <w:sz w:val="24"/>
          <w:highlight w:val="none"/>
        </w:rPr>
      </w:pPr>
      <w:r>
        <w:rPr>
          <w:rFonts w:hint="eastAsia" w:ascii="宋体" w:hAnsi="宋体"/>
          <w:color w:val="auto"/>
          <w:sz w:val="24"/>
          <w:highlight w:val="none"/>
        </w:rPr>
        <w:t xml:space="preserve">五、</w:t>
      </w:r>
      <w:r>
        <w:rPr>
          <w:rFonts w:hint="eastAsia"/>
          <w:color w:val="auto"/>
          <w:sz w:val="24"/>
          <w:highlight w:val="none"/>
        </w:rPr>
        <w:t xml:space="preserve">综合说明</w:t>
      </w:r>
      <w:r/>
    </w:p>
    <w:p>
      <w:pPr>
        <w:ind w:firstLine="480"/>
        <w:spacing w:line="360" w:lineRule="auto"/>
        <w:rPr>
          <w:color w:val="auto"/>
          <w:sz w:val="24"/>
          <w:highlight w:val="none"/>
        </w:rPr>
      </w:pPr>
      <w:r>
        <w:rPr>
          <w:rFonts w:hint="eastAsia"/>
          <w:color w:val="auto"/>
          <w:sz w:val="24"/>
          <w:highlight w:val="none"/>
        </w:rPr>
        <w:t xml:space="preserve">1、所有投标产品均需符合国家最新标准及行业要求。</w:t>
      </w:r>
      <w:r/>
    </w:p>
    <w:p>
      <w:pPr>
        <w:ind w:firstLine="480"/>
        <w:spacing w:line="360" w:lineRule="auto"/>
        <w:rPr>
          <w:color w:val="auto"/>
          <w:sz w:val="24"/>
          <w:highlight w:val="none"/>
        </w:rPr>
      </w:pPr>
      <w:r>
        <w:rPr>
          <w:rFonts w:hint="eastAsia"/>
          <w:color w:val="auto"/>
          <w:sz w:val="24"/>
          <w:highlight w:val="none"/>
        </w:rPr>
        <w:t xml:space="preserve">2、上述数量为估算数量，最终以实际使用数量为准。采购方按实际使用量支付价款，但不得违反相关法律法规。</w:t>
      </w:r>
      <w:r/>
    </w:p>
    <w:p>
      <w:pPr>
        <w:ind w:firstLine="480"/>
        <w:spacing w:line="360" w:lineRule="auto"/>
        <w:rPr>
          <w:color w:val="auto"/>
          <w:sz w:val="24"/>
          <w:highlight w:val="none"/>
        </w:rPr>
      </w:pPr>
      <w:r>
        <w:rPr>
          <w:rFonts w:hint="eastAsia"/>
          <w:color w:val="auto"/>
          <w:sz w:val="24"/>
          <w:highlight w:val="none"/>
        </w:rPr>
        <w:t xml:space="preserve">3、投标人必须承诺招标文件中提出的全部技术规格与要求，如果以其中某些条款不响应时，应在文件中逐条列出，未列出的视同响应。</w:t>
      </w:r>
      <w:r/>
    </w:p>
    <w:p>
      <w:pPr>
        <w:ind w:firstLine="480"/>
        <w:spacing w:line="360" w:lineRule="auto"/>
        <w:rPr>
          <w:color w:val="auto"/>
          <w:sz w:val="24"/>
          <w:highlight w:val="none"/>
        </w:rPr>
      </w:pPr>
      <w:r>
        <w:rPr>
          <w:rFonts w:hint="eastAsia"/>
          <w:color w:val="auto"/>
          <w:sz w:val="24"/>
          <w:highlight w:val="none"/>
        </w:rPr>
        <w:t xml:space="preserve">4、如双方对验收结果有分歧，则以苏州市技术质量监督局的检验结果为准，检验费用由有过失的一方支付。</w:t>
      </w:r>
      <w:r/>
    </w:p>
    <w:p>
      <w:pPr>
        <w:ind w:firstLine="480"/>
        <w:spacing w:line="360" w:lineRule="auto"/>
        <w:rPr>
          <w:color w:val="auto"/>
          <w:sz w:val="24"/>
          <w:highlight w:val="none"/>
        </w:rPr>
      </w:pPr>
      <w:r>
        <w:rPr>
          <w:rFonts w:hint="eastAsia"/>
          <w:color w:val="auto"/>
          <w:sz w:val="24"/>
          <w:highlight w:val="none"/>
        </w:rPr>
        <w:t xml:space="preserve">5、验收标准：根据标书要求及有关规定由采购方验收通过。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6、投标响应文件必须如实进行实质性响应，量化指标必须列明具体数值。投标供应商提供的技术资料必须真实、准确，</w:t>
      </w:r>
      <w:r>
        <w:rPr>
          <w:rFonts w:ascii="宋体" w:hAnsi="宋体"/>
          <w:color w:val="auto"/>
          <w:sz w:val="24"/>
          <w:highlight w:val="none"/>
        </w:rPr>
        <w:t xml:space="preserve">如提供的参数虚假或对招标文件所要求说明的情况故意隐瞒或虚报，</w:t>
      </w:r>
      <w:r>
        <w:rPr>
          <w:rFonts w:hint="eastAsia" w:ascii="宋体" w:hAnsi="宋体"/>
          <w:color w:val="auto"/>
          <w:sz w:val="24"/>
          <w:highlight w:val="none"/>
        </w:rPr>
        <w:t xml:space="preserve">按《中华人民共和国政府采购法》第七十七条的相关办法处理。</w:t>
      </w:r>
      <w:r/>
    </w:p>
    <w:p>
      <w:pPr>
        <w:ind w:firstLine="480"/>
        <w:jc w:val="left"/>
        <w:spacing w:line="360" w:lineRule="auto"/>
        <w:rPr>
          <w:rFonts w:ascii="宋体" w:hAnsi="宋体" w:cs="宋体"/>
          <w:color w:val="auto"/>
          <w:sz w:val="24"/>
          <w:highlight w:val="none"/>
        </w:rPr>
      </w:pPr>
      <w:r>
        <w:rPr>
          <w:rFonts w:hint="eastAsia" w:ascii="宋体" w:hAnsi="宋体"/>
          <w:color w:val="auto"/>
          <w:sz w:val="24"/>
          <w:highlight w:val="none"/>
        </w:rPr>
        <w:t xml:space="preserve">7、投标采购文件提出的要求，并未对一切细节作出规定，也未充分引述全部有关标准和规范的条文，投标供应商提供的所有产品（包括设计、制造以及节能环保等）都应符合已颁布的现行中华人民共和国认可的（部颁、行业）标准和国际标准化组织以及等效或更优的其他国家的权威性标准和规范的有关条文。如果这些标准内容有矛盾时，应按最高标</w:t>
      </w:r>
      <w:r>
        <w:rPr>
          <w:rFonts w:hint="eastAsia" w:ascii="宋体" w:hAnsi="宋体" w:cs="宋体"/>
          <w:color w:val="auto"/>
          <w:sz w:val="24"/>
          <w:highlight w:val="none"/>
        </w:rPr>
        <w:t xml:space="preserve">准的条款执行。</w:t>
      </w:r>
      <w:bookmarkEnd w:id="54"/>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六、政府采购政策：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1、绿色采购：</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根据《关于调整优化节能产品、环境标志产品政府采购执行机制的通知》（财库〔2019〕9号）等相关文件的规定，</w:t>
      </w:r>
      <w:r>
        <w:rPr>
          <w:rFonts w:hint="eastAsia" w:ascii="宋体" w:hAnsi="宋体" w:cs="宋体"/>
          <w:b/>
          <w:bCs/>
          <w:color w:val="auto"/>
          <w:sz w:val="24"/>
          <w:highlight w:val="none"/>
        </w:rPr>
        <w:t xml:space="preserve">对属于《节能产品政府采购品目清单》中强制采购范围内产品的，供应商须提供该产品有效期之内的节能产品认证证书，未提供的视为未实质性响应。上述品目清单可通过“中国政府采购网”（http://www.ccgp.gov.cn）查询</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2、中小微企业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w:t>
      </w:r>
      <w:r>
        <w:rPr>
          <w:rFonts w:hint="eastAsia" w:ascii="宋体" w:hAnsi="宋体" w:cs="宋体"/>
          <w:color w:val="auto"/>
          <w:sz w:val="24"/>
          <w:highlight w:val="none"/>
        </w:rPr>
        <w:t xml:space="preserve">意见&gt;的通知》（苏财购〔2022〕16号）、《财政部关于进一步加大政府采购支持中小企业力度的通知》（财库〔2022〕19号）等文件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类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在服务类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4、监狱企业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供则不享受相关政策。</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1、关于对参与供应商信用记录的政府采购要求：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w:t>
      </w:r>
      <w:bookmarkStart w:id="58" w:name="OLE_LINK2"/>
      <w:r>
        <w:rPr>
          <w:rFonts w:hint="eastAsia" w:ascii="宋体" w:hAnsi="宋体" w:cs="宋体"/>
          <w:color w:val="auto"/>
          <w:sz w:val="24"/>
          <w:highlight w:val="none"/>
        </w:rPr>
        <w:t xml:space="preserve">财政部门与法院、工商、税务等部门联合惩戒的失信信息，包括：</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1）被列入失信被执行人名单；</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2）被列入重大税收违法案件当事人名单；</w:t>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bookmarkEnd w:id="5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1.4对存在失信信息的供应商，由失信供应商进行确认。同时，采购代理机构工作人员应根据评审小组确认的失信信息，登陆到相关来源网站页面进行复核并打印，作为证据留存。</w:t>
      </w:r>
      <w:r/>
    </w:p>
    <w:p>
      <w:pPr>
        <w:pStyle w:val="964"/>
        <w:spacing w:line="360" w:lineRule="auto"/>
        <w:tabs>
          <w:tab w:val="left" w:pos="900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八、凡涉及采购文件的补充说明和修改，均以</w:t>
      </w:r>
      <w:r>
        <w:rPr>
          <w:rFonts w:hint="eastAsia" w:hAnsi="宋体" w:eastAsia="宋体" w:cs="宋体"/>
          <w:bCs/>
          <w:color w:val="auto"/>
          <w:sz w:val="24"/>
          <w:highlight w:val="none"/>
        </w:rPr>
        <w:t xml:space="preserve">中国政府采购网中央主网、江苏政府采购网、苏州市政府采购网</w:t>
      </w:r>
      <w:r>
        <w:rPr>
          <w:rFonts w:hint="eastAsia" w:hAnsi="宋体" w:eastAsia="宋体" w:cs="宋体"/>
          <w:color w:val="auto"/>
          <w:sz w:val="24"/>
          <w:szCs w:val="24"/>
          <w:highlight w:val="none"/>
        </w:rPr>
        <w:t xml:space="preserve">发布的文件为准。</w:t>
      </w:r>
      <w:r/>
    </w:p>
    <w:p>
      <w:pPr>
        <w:pStyle w:val="964"/>
        <w:spacing w:line="360" w:lineRule="auto"/>
        <w:tabs>
          <w:tab w:val="left" w:pos="9000" w:leader="none"/>
        </w:tabs>
        <w:rPr>
          <w:rFonts w:hAnsi="宋体" w:eastAsia="宋体" w:cs="宋体"/>
          <w:color w:val="auto"/>
          <w:sz w:val="24"/>
          <w:szCs w:val="24"/>
          <w:highlight w:val="none"/>
        </w:rPr>
      </w:pPr>
      <w:r>
        <w:rPr>
          <w:rFonts w:hAnsi="宋体" w:eastAsia="宋体" w:cs="宋体"/>
          <w:color w:val="auto"/>
          <w:sz w:val="24"/>
          <w:szCs w:val="24"/>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ascii="宋体" w:hAnsi="宋体" w:cs="宋体"/>
          <w:b/>
          <w:bCs/>
          <w:color w:val="auto"/>
          <w:sz w:val="24"/>
          <w:highlight w:val="none"/>
        </w:rPr>
      </w:r>
      <w:r/>
    </w:p>
    <w:p>
      <w:pPr>
        <w:pStyle w:val="951"/>
        <w:jc w:val="center"/>
        <w:spacing w:after="312" w:line="480" w:lineRule="auto"/>
        <w:tabs>
          <w:tab w:val="right" w:pos="8302" w:leader="dot"/>
        </w:tabs>
        <w:rPr>
          <w:rStyle w:val="927"/>
          <w:rFonts w:ascii="宋体" w:hAnsi="宋体" w:cs="宋体"/>
          <w:b w:val="0"/>
          <w:bCs/>
          <w:color w:val="auto"/>
          <w:sz w:val="36"/>
          <w:szCs w:val="36"/>
          <w:highlight w:val="none"/>
        </w:rPr>
      </w:pPr>
      <w:r>
        <w:rPr>
          <w:rStyle w:val="927"/>
          <w:rFonts w:hint="eastAsia" w:ascii="宋体" w:hAnsi="宋体" w:cs="宋体"/>
          <w:b w:val="0"/>
          <w:bCs/>
          <w:color w:val="auto"/>
          <w:sz w:val="36"/>
          <w:szCs w:val="36"/>
          <w:highlight w:val="none"/>
        </w:rPr>
        <w:t xml:space="preserve">第五章  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pStyle w:val="723"/>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  方：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根据苏州睿乔招投标咨询服务有限公司采购编号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号政府采购文件及中标单位的投标文件和中标通知书，甲乙双方就此次中标项目的2026-2027年度市政设施维护服务项目（高架）事宜，签订本合同书。</w:t>
      </w:r>
      <w:r/>
    </w:p>
    <w:p>
      <w:pPr>
        <w:spacing w:line="360" w:lineRule="auto"/>
        <w:tabs>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val="zh-CN"/>
        </w:rPr>
        <w:t xml:space="preserve">合同内容</w:t>
      </w:r>
      <w:r/>
    </w:p>
    <w:p>
      <w:pPr>
        <w:ind w:firstLine="480"/>
        <w:spacing w:line="360" w:lineRule="auto"/>
        <w:tabs>
          <w:tab w:val="left" w:pos="420"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乙方负责2026-2027年度市政设施维护服务项目（高架）的全部工作</w:t>
      </w:r>
      <w:r>
        <w:rPr>
          <w:rFonts w:hint="eastAsia" w:ascii="宋体" w:hAnsi="宋体" w:cs="宋体"/>
          <w:b/>
          <w:b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服务</w:t>
      </w:r>
      <w:r>
        <w:rPr>
          <w:rFonts w:hint="eastAsia" w:ascii="宋体" w:hAnsi="宋体" w:cs="宋体"/>
          <w:color w:val="auto"/>
          <w:sz w:val="24"/>
          <w:highlight w:val="none"/>
        </w:rPr>
        <w:t xml:space="preserve">期限</w:t>
      </w:r>
      <w:r>
        <w:rPr>
          <w:rFonts w:hint="eastAsia" w:ascii="宋体" w:hAnsi="宋体" w:cs="宋体"/>
          <w:color w:val="auto"/>
          <w:sz w:val="24"/>
          <w:highlight w:val="none"/>
          <w:lang w:val="zh-CN"/>
        </w:rPr>
        <w:t xml:space="preserve">：2</w:t>
      </w:r>
      <w:r>
        <w:rPr>
          <w:rFonts w:ascii="宋体" w:hAnsi="宋体" w:cs="宋体"/>
          <w:color w:val="auto"/>
          <w:sz w:val="24"/>
          <w:highlight w:val="none"/>
        </w:rPr>
        <w:t xml:space="preserve">026</w:t>
      </w:r>
      <w:r>
        <w:rPr>
          <w:rFonts w:hint="eastAsia" w:ascii="宋体" w:hAnsi="宋体" w:cs="宋体"/>
          <w:color w:val="auto"/>
          <w:sz w:val="24"/>
          <w:highlight w:val="none"/>
        </w:rPr>
        <w:t xml:space="preserve">年1月1日至2027年12月31日。（具体起始时间按采购方通知为准）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二、合同价格与支付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1.合同价格按此次中标价格执行，合同总金额为人民币</w:t>
      </w:r>
      <w:r>
        <w:rPr>
          <w:rFonts w:hint="eastAsia" w:ascii="宋体" w:hAnsi="宋体" w:cs="宋体"/>
          <w:color w:val="auto"/>
          <w:sz w:val="24"/>
          <w:highlight w:val="none"/>
          <w:u w:val="single"/>
        </w:rPr>
        <w:t xml:space="preserve">          元整</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Start w:id="59" w:name="OLE_LINK13"/>
      <w:r/>
      <w:bookmarkStart w:id="60" w:name="OLE_LINK12"/>
      <w:r>
        <w:rPr>
          <w:rFonts w:hint="eastAsia" w:ascii="宋体" w:hAnsi="宋体" w:cs="宋体"/>
          <w:color w:val="auto"/>
          <w:sz w:val="24"/>
          <w:highlight w:val="none"/>
        </w:rPr>
        <w:t xml:space="preserve">包括完成该项工作（含巡视、维护、应急抢险等）所列的服务管理内容及技术措施费、安全文明措施费、风险费、材料、机械设备、安装、维护作业范围内的建筑垃圾等杂物的清运费、废料处置费、人工（包括人员劳务费、加班费、福利费、社保等）、作业人员人身意外保险以及在从事该劳动过程中发生的其它费用（含法律法规应缴的费用）、公众责任保险、劳保、维护、代理服务费、利润、税金、政策性文件规定及合同包含的所有风险、责任等各项所有费用，并在服务期限内不受政策因素影响。</w:t>
      </w:r>
      <w:bookmarkEnd w:id="59"/>
      <w:r/>
      <w:bookmarkEnd w:id="6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2.付款步骤：每季度支付1次，管养费用包含巡视费，维护费，应急管理费。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（1）巡视费、应急管理费按月固定单价，维护费采取固定单价（见附件），工作量由甲方委托第三方审计的方式进行结算，如有在清单范围外的工作内容，则由甲方委托第三方对单价、工作量一并进行审计。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管养费用由中标单位按月度进行汇总，并形成《结算书》，《结算书》按每3个月向采购人上报，由采购人委托第三方审计并出具结算审核报告，审核报告上的每月的审定金额即为当月维护服务费用，除固定费用外不再另行支付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（3）管养费用支付金额与考核成绩挂钩，当月考核总得分达到90分（含90分）为达标；则全额支付当月管养服务费用，达不到以上规定达标分数的，每降1分，则扣减当月管养费用1个百分点，以此类推。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（4）如当月管养费用审计核减率超过7%，则超过7%部分按核减管养费用4%计算的审核费用由乙方承担，乙方需凭审核费用支付凭证向甲方申请管养费用。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（5）如当月存在检测结果不合格的，相应检测费用在月度管养费用中扣除。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（6）甲方应当在履约验收合格并完成评审后，由乙方发起付款申请后90天内完成付款。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eastAsia="zh-TW"/>
        </w:rPr>
        <w:t xml:space="preserve">注：该项目支付预付款为</w:t>
      </w:r>
      <w:r>
        <w:rPr>
          <w:rFonts w:hint="eastAsia" w:ascii="宋体" w:hAnsi="宋体" w:cs="宋体"/>
          <w:color w:val="auto"/>
          <w:sz w:val="24"/>
          <w:highlight w:val="none"/>
        </w:rPr>
        <w:t xml:space="preserve">3</w:t>
      </w:r>
      <w:r>
        <w:rPr>
          <w:rFonts w:hint="eastAsia" w:ascii="宋体" w:hAnsi="宋体" w:cs="宋体"/>
          <w:color w:val="auto"/>
          <w:sz w:val="24"/>
          <w:highlight w:val="none"/>
          <w:lang w:val="zh-CN" w:eastAsia="zh-TW"/>
        </w:rPr>
        <w:t xml:space="preserve">0%。在签订合同时，</w:t>
      </w:r>
      <w:r>
        <w:rPr>
          <w:rFonts w:hint="eastAsia" w:ascii="宋体" w:hAnsi="宋体" w:cs="宋体"/>
          <w:color w:val="auto"/>
          <w:sz w:val="24"/>
          <w:highlight w:val="none"/>
        </w:rPr>
        <w:t xml:space="preserve">若</w:t>
      </w:r>
      <w:r>
        <w:rPr>
          <w:rFonts w:hint="eastAsia" w:ascii="宋体" w:hAnsi="宋体" w:cs="宋体"/>
          <w:color w:val="auto"/>
          <w:sz w:val="24"/>
          <w:highlight w:val="none"/>
          <w:lang w:val="zh-CN" w:eastAsia="zh-TW"/>
        </w:rPr>
        <w:t xml:space="preserve">乙方明确表示无需预付款或者主动要求降低预付款比例的，甲方可不适用支付预付款30%规定。具体实施要求按苏财购【2020】52号文件第一条的相关规定执行。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或出现其它重大违规违约情形的，甲方可立即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eastAsia="zh-TW"/>
        </w:rPr>
        <w:t xml:space="preserve">合同款结算时，乙方需提供</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eastAsia="zh-TW"/>
        </w:rPr>
        <w:t xml:space="preserve">A、有效的发票</w:t>
      </w:r>
      <w:r>
        <w:rPr>
          <w:rFonts w:hint="eastAsia" w:ascii="宋体" w:hAnsi="宋体" w:cs="宋体"/>
          <w:color w:val="auto"/>
          <w:sz w:val="24"/>
          <w:highlight w:val="none"/>
          <w:lang w:val="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eastAsia="zh-TW"/>
        </w:rPr>
        <w:t xml:space="preserve">B、由供需双方及招标代理机构签章的</w:t>
      </w:r>
      <w:r>
        <w:rPr>
          <w:rFonts w:hint="eastAsia" w:ascii="宋体" w:hAnsi="宋体" w:cs="宋体"/>
          <w:color w:val="auto"/>
          <w:sz w:val="24"/>
          <w:highlight w:val="none"/>
        </w:rPr>
        <w:t xml:space="preserve">《政府采购履约验收书》；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eastAsia="zh-TW"/>
        </w:rPr>
        <w:t xml:space="preserve">C、</w:t>
      </w:r>
      <w:r>
        <w:rPr>
          <w:rFonts w:hint="eastAsia" w:ascii="宋体" w:hAnsi="宋体" w:cs="宋体"/>
          <w:color w:val="auto"/>
          <w:sz w:val="24"/>
          <w:highlight w:val="none"/>
          <w:lang w:val="zh-CN"/>
        </w:rPr>
        <w:t xml:space="preserve">结算审核报告；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zh-CN" w:eastAsia="zh-TW"/>
        </w:rPr>
        <w:t xml:space="preserve">D、考核表。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TW" w:eastAsia="zh-TW"/>
        </w:rPr>
        <w:t xml:space="preserve">支付方式：数字人民币支付。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三、双方权利与义务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1.甲方权利与义务：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应按本合同按时付给乙方服务费用，不得无故拖欠应付款项，但是，因乙方未按本合同约定提供巡视维护服务，甲方有权拒付当期服务费用，并有权要求乙方按照本合同的规定承担相应的违约责任，此期间乙方应严格履约、不能怠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(2)甲方应向乙方提供开展维护工作的便利条件，以便乙方能顺利地进行维护保养。有权监督并检查乙方所做工作，共同做好高架日常运行和维护工作。乙方巡视维保记录交双方确认后有效；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(3)甲方有权对乙方服务进行监督，并对操守不良、违规操作、违反甲方管理规定或工作不称职的乙方工作人员给予警告，并有权要求乙方撤换；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(4)甲方应积极采纳乙方在维护管理方面的合理化建议。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2.乙方权利与义务：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在从事市政维护服务工作中应当做到文明工作、安全生产，采取必要的安全防范措施，合同期内，乙方维护工作人员发生的一切安全问题包括由于乙方提供的维护服务导致的安全事故引发的责任，均由乙方自行负责，与甲方无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（2）乙方应当指定专人作为乙方联系人予以协调工作，加强与甲方沟通，交流情况，互通信息。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（3）乙方所有作业服务人员一经确定不得随意变更，如更换需提前1个月向甲方提出书面申请。如项目组成员不能胜任本项目，则乙方在收到甲方提出的更换要求后，必须在1个月内更换服务人员。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（4）乙方应经常对员工进行岗位职责和安全教育，加强岗位责任考核。因管理不当、违规操作发生安全事故由乙方自行负责，对甲方造成损失的，乙方需承担相应的赔偿责任。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期间乙方配置的作业人员仍属乙方职工，作业人员的工资、社保及人身意外伤害保险等费用由乙方自理；甲方与乙方配置的作业人员不存在隶属关系，如乙方作业人员发生工伤或意外事故，由乙方负责处理、赔付。如乙方未能及时支付作业人员工资导致的一切后果由乙方承担，与甲方无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（6）乙方在从事市政维护服务工作中应当严格遵守国家、地方人民政府、行政主管部门制定的环保规定，落实扬尘、废气、废水、噪声等污染源控制，因乙方未落实环保要求引起的一切后果都由乙方承担。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（7）甲方管理项目内的任一设施设备均属项目甲方，在本合同有效期内及之后所有的时间内，乙方及乙方人员应对在服务过程中知悉的甲方项目的任何信息，不得以任何方式使用或许可第三方使用。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（8）乙方应当在合同签订之日前内完成公众责任险投保工作，保障范围应当覆盖乙方所有管养设施，保障时间应当覆盖合同履约时间，如因乙方未投保而造成的损失赔偿，由乙方承担相应的赔偿责任。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（9）乙方所配备的车辆设备应具备管养范围内所有高架的通行资格。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（10）乙方应当定期出具管养服务工作报告，管养服务报告应当包含此次管养期间的巡视、维修、应急管理等工作内容，并对所管养设施存在的问题进行汇报，同时要求有负责人签名。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（11）乙方应建立项目内应急预案，并在合同期内按甲方要求组织应急演练，做好相关记录。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（12）本合同因解除或履行期届满的，乙方应在合同终止之日起十日内，将相关管养资料等交还给甲方，并与新的服务单位办理好交接手续，如实告知相关情况。</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四、违约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1.合同一方不履行合同义务或者履行合同义务不符合约定的，应当承担继续履行、采取补救措施或者赔偿损失等违约责任。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2.甲方违约责任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甲方违反合同规定，拒绝接收乙方交付的合格标的物，应视为甲方违约，应弥补对乙方造成的合理损失。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（1）乙方不能按期完成维护，或未达到甲方要求从而影响设施正常使用的，甲方有权解除合同。乙方应向甲方偿付合同总价款20%的违约金，违约金不足以补偿损失的甲方有权要求乙方补足。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（2）合同期间，若乙方不能提供维护服务的，或维护服务不合格从而影响甲方按期正常使用的，应向甲方偿付合同总价款20%的违约金，违约金不足以补偿损失的甲方有权要求乙方补足。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（3）乙方出现违约违规情况的，甲方有权单方解除本合同,且不承担违约和赔偿责任。造成甲方损失的，乙方应负赔偿责任。赔偿款甲方有权从乙方应得的价款中直接扣除，不足部分甲方有权向乙方追索。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乙方同意，甲方有权直接在应付合同价款中直接扣除上述乙方应承担的违约金。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4.因乙方违约或乙方追究甲方违约但不成立，导致甲方为处理此纠纷支出的费用由乙方承担，该费用包括但不限于诉讼费、保全费、鉴定费、执行费、律师费、差旅费等。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五、争议解决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甲乙双方如有争议，应友好协商解决，协商不成，则提交甲方所在地人民法院诉讼。</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六、如有未尽事宜，双方可另行商定并签订补充协议作为合同附件，与本合同具有同等法律效力。</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七、本合同经甲乙双方代表签字并加盖公章（或合同章），即生效。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八、附则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1.合同份数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本合同一式五份，甲执二份、乙方执二份、招标代理机构一份。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2.本合同由以下文件组成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（1）本合同书；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（2）合同书签署后各方以书面形式确认的补充协议、会议纪要等；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（5）乙方在招投标过程中所作的其他承诺、声明、书面澄清等；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（6）乙方中标的采购文件；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（7）其他合同技术附件。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上述文件之间有冲突的，以排列序位在前的文件为准，同一序位的文件以形成时间在后的为准。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3.未尽事宜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本合同未尽事宜应按《中华人民共和国民法典》以及其同相关法律、法规之规定解释。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合同签定地：苏州市市政施设管理处</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甲方：（盖章）                                 乙方：（盖章）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代表签名：                                     代表签名：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日期：</w:t>
      </w:r>
      <w:r/>
    </w:p>
    <w:p>
      <w:pPr>
        <w:rPr>
          <w:rFonts w:ascii="宋体" w:hAnsi="宋体" w:cs="宋体"/>
          <w:color w:val="auto"/>
          <w:szCs w:val="21"/>
          <w:highlight w:val="none"/>
        </w:rPr>
      </w:pPr>
      <w:r>
        <w:rPr>
          <w:rFonts w:hint="eastAsia" w:ascii="宋体" w:hAnsi="宋体" w:cs="宋体"/>
          <w:b/>
          <w:bCs/>
          <w:color w:val="auto"/>
          <w:szCs w:val="21"/>
          <w:highlight w:val="none"/>
        </w:rPr>
        <w:br w:type="page" w:clear="all"/>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合同附件</w:t>
      </w:r>
      <w:r>
        <w:rPr>
          <w:rFonts w:hint="eastAsia" w:ascii="宋体" w:hAnsi="宋体" w:cs="宋体"/>
          <w:color w:val="auto"/>
          <w:sz w:val="24"/>
          <w:highlight w:val="none"/>
        </w:rPr>
        <w:t xml:space="preserve">：</w:t>
      </w:r>
      <w:r/>
    </w:p>
    <w:p>
      <w:pPr>
        <w:ind w:right="115"/>
        <w:jc w:val="center"/>
        <w:spacing w:line="360" w:lineRule="auto"/>
        <w:tabs>
          <w:tab w:val="left" w:pos="1280" w:leader="none"/>
        </w:tabs>
        <w:rPr>
          <w:rFonts w:ascii="宋体" w:hAnsi="宋体" w:cs="宋体"/>
          <w:color w:val="auto"/>
          <w:sz w:val="24"/>
          <w:highlight w:val="none"/>
        </w:rPr>
      </w:pPr>
      <w:r>
        <w:rPr>
          <w:rFonts w:hint="eastAsia" w:ascii="宋体" w:hAnsi="宋体" w:cs="宋体"/>
          <w:b/>
          <w:bCs/>
          <w:color w:val="auto"/>
          <w:sz w:val="24"/>
          <w:highlight w:val="none"/>
        </w:rPr>
        <w:t xml:space="preserve">高架维护项目考核表</w:t>
      </w:r>
      <w:r/>
    </w:p>
    <w:p>
      <w:pPr>
        <w:ind w:right="115"/>
        <w:spacing w:line="360" w:lineRule="auto"/>
        <w:tabs>
          <w:tab w:val="left" w:pos="1280" w:leader="none"/>
        </w:tabs>
        <w:rPr>
          <w:rFonts w:ascii="宋体" w:hAnsi="宋体" w:cs="宋体"/>
          <w:color w:val="auto"/>
          <w:sz w:val="24"/>
          <w:highlight w:val="none"/>
        </w:rPr>
      </w:pPr>
      <w:r>
        <w:rPr>
          <w:rFonts w:hint="eastAsia" w:ascii="宋体" w:hAnsi="宋体" w:cs="宋体"/>
          <w:b/>
          <w:bCs/>
          <w:color w:val="auto"/>
          <w:sz w:val="24"/>
          <w:highlight w:val="none"/>
        </w:rPr>
        <w:t xml:space="preserve">项目名称：</w:t>
      </w:r>
      <w:r/>
    </w:p>
    <w:p>
      <w:pPr>
        <w:ind w:right="115"/>
        <w:spacing w:line="360" w:lineRule="auto"/>
        <w:tabs>
          <w:tab w:val="left" w:pos="1280" w:leader="none"/>
        </w:tabs>
        <w:rPr>
          <w:rFonts w:ascii="宋体" w:hAnsi="宋体" w:cs="宋体"/>
          <w:color w:val="auto"/>
          <w:sz w:val="24"/>
          <w:highlight w:val="none"/>
        </w:rPr>
      </w:pPr>
      <w:r>
        <w:rPr>
          <w:rFonts w:hint="eastAsia" w:ascii="宋体" w:hAnsi="宋体" w:cs="宋体"/>
          <w:b/>
          <w:bCs/>
          <w:color w:val="auto"/>
          <w:sz w:val="24"/>
          <w:highlight w:val="none"/>
        </w:rPr>
        <w:t xml:space="preserve">被考核单位：</w:t>
      </w:r>
      <w:r/>
    </w:p>
    <w:p>
      <w:pPr>
        <w:ind w:right="115"/>
        <w:spacing w:line="360" w:lineRule="auto"/>
        <w:tabs>
          <w:tab w:val="left" w:pos="1280" w:leader="none"/>
        </w:tabs>
        <w:rPr>
          <w:rFonts w:ascii="宋体" w:hAnsi="宋体" w:cs="宋体"/>
          <w:color w:val="auto"/>
          <w:sz w:val="24"/>
          <w:highlight w:val="none"/>
        </w:rPr>
      </w:pPr>
      <w:r>
        <w:rPr>
          <w:rFonts w:hint="eastAsia" w:ascii="宋体" w:hAnsi="宋体" w:cs="宋体"/>
          <w:b/>
          <w:bCs/>
          <w:color w:val="auto"/>
          <w:sz w:val="24"/>
          <w:highlight w:val="none"/>
        </w:rPr>
        <w:t xml:space="preserve">考核日期：      年  月  日</w:t>
      </w:r>
      <w:r/>
    </w:p>
    <w:tbl>
      <w:tblPr>
        <w:tblStyle w:val="703"/>
        <w:tblW w:w="90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04"/>
        <w:gridCol w:w="1158"/>
        <w:gridCol w:w="1544"/>
        <w:gridCol w:w="644"/>
        <w:gridCol w:w="644"/>
        <w:gridCol w:w="3638"/>
        <w:gridCol w:w="828"/>
      </w:tblGrid>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考核内容及要求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应得分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扣分细则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人员、材料、机械管理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5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按合同及招标文件要求配备项目负责人及项目组人员，特种作业人员持有效证件上岗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未按要求配备项目负责人及项目组人员或擅自更换人员的，一次扣2分；特种作业人员未持有效证件上岗的，一次扣2分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进场材料符合国家或行业标准、规范规定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进场材料不符合国家或行业标准、规范规定，一次扣1分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按合同及招标文件要求配置机械设备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未按合同及招标文件要求配置机械设备，扣2分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维护作业管理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按要求编制周维护计划、月度维护计划；及时上报周维护报表、月度维护报表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未按要求编制和及时上报周维护计划、月度维护计划，一次扣2分，未及时上报维护报表，一次扣2分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根据维护任务单、批准的周维护计划、月度维护计划组织安排维护任务，并按招标文件要求及规范进行自检自查，且有检查记录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未根据维护任务单、批准的周维护计划、月度维护计划组织安排维护任务，扣3分；未按招标文件要求及规范进行自检自查，且未有检查记录，扣2分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日常维护修复及时率符合招标文件要求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日常维护修复及时率不符合招标文件要求，一次扣1分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维护过程中，作业人员按要求统一着装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作业人员未按要求统一着装，一次扣0.5分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9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维护作业应该采取降尘措施，避免造成环境污染；作业现场材料堆放整齐有序；作业完成后做到工完场清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维护作业未采取降尘措施，造成环境污染，一次扣1分；作业现场材料乱堆、乱放污染环境；未做到工完场清，一次扣1分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2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2.6</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新闻媒体曝光或社会投诉事件及时回复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新闻媒体曝光或社会投诉事件回复不及时，一次扣2分，造成严重影响一次扣5分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维护质量管理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维护质量满足招标文件要求，维护合格率100%；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零星维护质量不符合规范或招标文件要求，一次扣1分；专项维护一次性交验合格率未达到100%，一次扣2分。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工序检测合格率100%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工序检测不符合规范或招标文件要求。一次扣1分。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日常台账记录及维护项目资料整理归档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台账记录有缺失、维护项目资料整理归档不及时、不完整，一次扣0.5分。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市政设施完好率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市政设施完好率在合同期内达到良好以上等级及达到优秀以上等级每下降超过1%扣1分。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四</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安全文明管理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建立健全市政道路桥梁维护安全管理组织机构，明确职责分工。制定完善的市政道路桥梁维护安全管理制度、操作规程。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建立组织架构，明确职责分工。各岗位缺失或不明确一个扣1分。或者执行岗位职责明显不到位一次扣1分。建立组织架构及各类制度，缺少一个扣1分。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定期开展市政道路桥梁维护安全教育培训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根据各标段特点每季度开展安全教育培训，缺少一次扣1分。各专项维护项目开工前组织专项技术交底，缺少一次扣2分。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按照规范要求对市政道路桥梁进行日常维护（含市政设施维护项目现场安全、文明、环保等措施是否到位以及渣土处置是否合规）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现场安全、文明、环保、渣土运输等措施不到位1次扣2分。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建立健全市政道路桥梁安全检查及隐患排查治理机制。定期开展市政道路桥梁安全隐患排查，建立隐患台账。制定整改方案，落实整改措施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每年开展道路桥梁隐患排查不少于6次，未定期开展市政道路桥梁安全隐患排查或者隐患台账缺失一次扣1分；隐患整改不到位一次扣2分。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制定完善各类市政道路桥梁突发事件应急预案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未建立预案或预案明显不合理、不全面扣1分。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4.6</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做好应急人员、物资和设备的管理，根据实际情况开展应急处置，定期组织开展市政道路桥梁突发事件应急演练。配合各级管理部门处置各类应急工作。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要求配备并管理好应急人员、物资和设备。管理不到位一次扣1分。每年根据应急预案开展不少于一次应急演练。未组织应急演练扣2分。按照各级管理部门要求开展应急处置，配合不到位、处置不积极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4.7</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认真执行省、市、区各级安全主管部门下发的相关文件。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未执行各级安全主管部门相关文件精神或执行不到位扣1分。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4.8</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管养范围内因市政设施损坏应及时维修而避免造成安全事故；维护作业过程中应当做好对作业范围内管线、绿化等设施的保护工作，不损坏其他设施。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养范围内因市政设施损坏未及时维修而造成安全事故，一次扣2分；维护作业过程中因未做好对作业范围内管线、绿化等设施的保护工作，导致其他设施损坏，一次扣0.5分，未及时恢复造成不良影响的，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五</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巡视检查管理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按照合同要求配置巡视人员，且定人定岗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未按照合同要求配置巡视人员且未定人定岗，扣2分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按要求建立巡视检查及台账管理制度；按要求进行巡视岗前培训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未建立巡视检查及台账管理制度；扣2分；未进行巡视岗前培训，无法提供培训记录，扣1分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巡视人员按要求进行巡视；按要求填写巡视记录，做到真实、准确、完整； 协助甲方做好相关桥梁管养系统的信息填报及更新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巡视人员未按要求进行巡视，一次扣0.5分；未按要求填写巡视记录或巡视记录填写不真实、准确、完整，一次扣0.5分；未协助甲方做好桥梁管养系统的信息填报及更新的，扣2分，更新不及时一次扣1分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3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巡视人员发现市政设施严重破损或破损设施存在安全隐患，以及在城市桥梁安全保护区域内的爆破、深基坑开挖打桩、违规占用、爆破、施工作业、河道疏浚等违反《苏州市市政设施管理条例》，影响桥梁安全稳定运行的情况，及时上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巡视人员发现市政设施严重破损存在安全隐患，以及在城市桥梁安全保护区域内的爆破、深基坑开挖打桩、违规占用、爆破、施工作业、河道疏浚等违反《苏州市市政设施管理条例》，影响桥梁安全稳定运行的情况，未及时上报，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60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巡视人员按规定统一着装；按要求配置巡视车辆且带警示标志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4"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3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巡视人员未按规定统一着装，发现一次扣0.5分；未按按要求配置巡视车辆且带警示标志，扣2分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总分</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1167"/>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考核人/考核单位：</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1447"/>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被考核人/被考核单位：</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98"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1、累计2次月度考核低于80分的；巡视、监控工作不力，新闻媒体曝光及群众投拆经查属实且有责三次以上（含三次）；突发事件（如灾害性天气）或重大活动期间，无故不执行指令性任务或未按相关要求、标准完成任务，达二次以上（含二次）；或出现其它重大违规违约情形的，甲方可立即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2、管养费用支付金额与考核成绩挂钩，当月考核总得分达到90分（含90分）为达标；则全额支付当月管养服务费用，达不到以上规定达标分数的，每降1分，则扣减当月管养费用1个百分点，以此类推。</w:t>
      </w:r>
      <w:r/>
    </w:p>
    <w:p>
      <w:pPr>
        <w:pStyle w:val="704"/>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Pr>
      <w:r>
        <w:rPr>
          <w:color w:val="auto"/>
          <w:highlight w:val="none"/>
        </w:rPr>
      </w:r>
      <w:r/>
    </w:p>
    <w:p>
      <w:pPr>
        <w:pStyle w:val="704"/>
        <w:rPr>
          <w:color w:val="auto"/>
          <w:highlight w:val="none"/>
        </w:rPr>
      </w:pPr>
      <w:r>
        <w:rPr>
          <w:color w:val="auto"/>
          <w:highlight w:val="none"/>
        </w:rPr>
      </w:r>
      <w:r/>
    </w:p>
    <w:p>
      <w:pPr>
        <w:pStyle w:val="705"/>
        <w:rPr>
          <w:color w:val="auto"/>
          <w:highlight w:val="none"/>
        </w:rPr>
      </w:pPr>
      <w:r>
        <w:rPr>
          <w:color w:val="auto"/>
          <w:highlight w:val="none"/>
        </w:rPr>
      </w:r>
      <w:r/>
    </w:p>
    <w:p>
      <w:pPr>
        <w:pStyle w:val="951"/>
        <w:jc w:val="center"/>
        <w:spacing w:after="312" w:line="480" w:lineRule="auto"/>
        <w:tabs>
          <w:tab w:val="right" w:pos="8302" w:leader="dot"/>
        </w:tabs>
        <w:rPr>
          <w:rFonts w:ascii="宋体" w:hAnsi="宋体" w:eastAsia="宋体" w:cs="宋体"/>
          <w:b/>
          <w:color w:val="auto"/>
          <w:sz w:val="32"/>
          <w:szCs w:val="32"/>
          <w:highlight w:val="none"/>
        </w:rPr>
      </w:pPr>
      <w:r>
        <w:rPr>
          <w:rStyle w:val="927"/>
          <w:rFonts w:hint="eastAsia" w:ascii="宋体" w:hAnsi="宋体" w:cs="宋体"/>
          <w:color w:val="auto"/>
          <w:sz w:val="32"/>
          <w:szCs w:val="32"/>
          <w:highlight w:val="none"/>
        </w:rPr>
        <w:t xml:space="preserve">第六章  评标办法及评分标准</w:t>
      </w:r>
      <w:r/>
    </w:p>
    <w:p>
      <w:pPr>
        <w:spacing w:line="360" w:lineRule="auto"/>
        <w:rPr>
          <w:rFonts w:ascii="宋体" w:hAnsi="宋体" w:cs="宋体"/>
          <w:bCs/>
          <w:color w:val="auto"/>
          <w:sz w:val="24"/>
          <w:highlight w:val="none"/>
        </w:rPr>
      </w:pPr>
      <w:r/>
      <w:bookmarkStart w:id="61" w:name="_Toc163571923"/>
      <w:r/>
      <w:bookmarkStart w:id="62" w:name="_Toc179806444"/>
      <w:r>
        <w:rPr>
          <w:rFonts w:hint="eastAsia" w:ascii="宋体" w:hAnsi="宋体" w:cs="宋体"/>
          <w:bCs/>
          <w:color w:val="auto"/>
          <w:sz w:val="24"/>
          <w:highlight w:val="none"/>
        </w:rPr>
        <w:t xml:space="preserve">一、评标办法</w:t>
      </w:r>
      <w:bookmarkEnd w:id="61"/>
      <w:r/>
      <w:bookmarkEnd w:id="6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3、对评委的评分（除价格分外）进行统计汇总，评委人数在7人的，直接算术平均计算得分。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4、如出现评标总得分最高的投标人有两个或两个以上的，以投标报价较低者优先作为该标段中标候选人，如果投标报价也相同的，则以抽签方式确定中标候选人。</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5、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tabs>
          <w:tab w:val="left" w:pos="8930" w:leader="none"/>
          <w:tab w:val="left" w:pos="9306" w:leader="none"/>
        </w:tabs>
        <w:rPr>
          <w:rFonts w:ascii="宋体" w:hAnsi="宋体" w:cs="宋体"/>
          <w:color w:val="auto"/>
          <w:sz w:val="24"/>
          <w:highlight w:val="none"/>
        </w:rPr>
      </w:pPr>
      <w:r>
        <w:rPr>
          <w:rFonts w:hint="eastAsia" w:ascii="宋体" w:hAnsi="宋体" w:cs="宋体"/>
          <w:color w:val="auto"/>
          <w:sz w:val="24"/>
          <w:highlight w:val="none"/>
        </w:rPr>
        <w:t xml:space="preserve">6、针对中小型企业、残疾人福利企业和监狱企业的评审：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w:t>
      </w:r>
      <w:r>
        <w:rPr>
          <w:rFonts w:hint="eastAsia" w:ascii="宋体" w:hAnsi="宋体" w:cs="宋体"/>
          <w:color w:val="auto"/>
          <w:sz w:val="24"/>
          <w:highlight w:val="none"/>
        </w:rPr>
        <w:t xml:space="preserve">展实施意见&gt;的通知》（苏财购〔2022〕16号）、《财政部关于进一步加大政府采购支持中小企业力度的通知》（财库〔2022〕19号）等文件的规定，对于符合上述文件规定情形的小微企业、残疾人福利性单位及监狱企业报价给予相应比例的扣除，其中货物和服务项目为20%，工程项目为5%，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二、评分标准</w:t>
      </w:r>
      <w:r/>
    </w:p>
    <w:p>
      <w:pPr>
        <w:spacing w:line="360" w:lineRule="auto"/>
        <w:rPr>
          <w:rStyle w:val="1026"/>
          <w:rFonts w:ascii="宋体" w:hAnsi="宋体" w:cs="宋体"/>
          <w:b/>
          <w:bCs/>
          <w:color w:val="auto"/>
          <w:sz w:val="24"/>
          <w:highlight w:val="none"/>
        </w:rPr>
      </w:pPr>
      <w:r>
        <w:rPr>
          <w:rStyle w:val="1026"/>
          <w:rFonts w:hint="eastAsia" w:ascii="宋体" w:hAnsi="宋体" w:cs="宋体"/>
          <w:b/>
          <w:bCs/>
          <w:color w:val="auto"/>
          <w:sz w:val="24"/>
          <w:highlight w:val="none"/>
        </w:rPr>
        <w:t xml:space="preserve">（一）</w:t>
      </w:r>
      <w:r>
        <w:rPr>
          <w:rStyle w:val="1026"/>
          <w:rFonts w:hint="eastAsia" w:ascii="宋体" w:hAnsi="宋体" w:cs="宋体"/>
          <w:b/>
          <w:color w:val="auto"/>
          <w:sz w:val="24"/>
          <w:highlight w:val="none"/>
        </w:rPr>
        <w:t xml:space="preserve">价格分：</w:t>
      </w:r>
      <w:r>
        <w:rPr>
          <w:rStyle w:val="1026"/>
          <w:rFonts w:hint="eastAsia" w:ascii="宋体" w:hAnsi="宋体" w:cs="宋体"/>
          <w:b/>
          <w:bCs/>
          <w:color w:val="auto"/>
          <w:sz w:val="24"/>
          <w:highlight w:val="none"/>
        </w:rPr>
        <w:t xml:space="preserve">(15分)</w:t>
      </w:r>
      <w:r/>
    </w:p>
    <w:p>
      <w:pPr>
        <w:ind w:firstLine="480"/>
        <w:spacing w:line="360" w:lineRule="auto"/>
        <w:rPr>
          <w:rStyle w:val="1026"/>
          <w:rFonts w:ascii="宋体" w:hAnsi="宋体" w:cs="宋体"/>
          <w:bCs/>
          <w:color w:val="auto"/>
          <w:sz w:val="24"/>
          <w:highlight w:val="none"/>
        </w:rPr>
      </w:pPr>
      <w:r>
        <w:rPr>
          <w:rStyle w:val="1026"/>
          <w:rFonts w:hint="eastAsia" w:ascii="宋体" w:hAnsi="宋体" w:cs="宋体"/>
          <w:bCs/>
          <w:color w:val="auto"/>
          <w:sz w:val="24"/>
          <w:highlight w:val="none"/>
        </w:rPr>
        <w:t xml:space="preserve">第一步：报价低于或等于最高限价的，为有效报价。超最高限价的报价为无效报价。无效报价的投标文件不进行评审，也不得标。</w:t>
      </w:r>
      <w:r/>
    </w:p>
    <w:p>
      <w:pPr>
        <w:ind w:firstLine="480"/>
        <w:spacing w:line="360" w:lineRule="auto"/>
        <w:rPr>
          <w:rStyle w:val="1026"/>
          <w:rFonts w:ascii="宋体" w:hAnsi="宋体" w:cs="宋体"/>
          <w:bCs/>
          <w:color w:val="auto"/>
          <w:sz w:val="24"/>
          <w:highlight w:val="none"/>
        </w:rPr>
      </w:pPr>
      <w:r>
        <w:rPr>
          <w:rStyle w:val="1026"/>
          <w:rFonts w:hint="eastAsia" w:ascii="宋体" w:hAnsi="宋体" w:cs="宋体"/>
          <w:bCs/>
          <w:color w:val="auto"/>
          <w:sz w:val="24"/>
          <w:highlight w:val="none"/>
        </w:rPr>
        <w:t xml:space="preserve">第二步：在所有有效报价中满足招标文件要求，且价格最低的报价为评标基准价，其他投标人的价格分按照下列公式计算（计算结果四舍五入保留两位小数）。</w:t>
      </w:r>
      <w:r/>
    </w:p>
    <w:p>
      <w:pPr>
        <w:ind w:firstLine="480"/>
        <w:spacing w:line="360" w:lineRule="auto"/>
        <w:rPr>
          <w:rStyle w:val="1026"/>
          <w:rFonts w:ascii="宋体" w:hAnsi="宋体" w:cs="宋体"/>
          <w:bCs/>
          <w:color w:val="auto"/>
          <w:sz w:val="24"/>
          <w:highlight w:val="none"/>
        </w:rPr>
      </w:pPr>
      <w:r>
        <w:rPr>
          <w:rStyle w:val="1026"/>
          <w:rFonts w:hint="eastAsia" w:ascii="宋体" w:hAnsi="宋体" w:cs="宋体"/>
          <w:bCs/>
          <w:color w:val="auto"/>
          <w:sz w:val="24"/>
          <w:highlight w:val="none"/>
        </w:rPr>
        <w:t xml:space="preserve">报价得分＝（评标基准价/投标报价）×15%×100。</w:t>
      </w:r>
      <w:r/>
    </w:p>
    <w:p>
      <w:pPr>
        <w:spacing w:line="360" w:lineRule="auto"/>
        <w:rPr>
          <w:rStyle w:val="1026"/>
          <w:rFonts w:ascii="宋体" w:hAnsi="宋体" w:cs="宋体"/>
          <w:b/>
          <w:bCs/>
          <w:color w:val="auto"/>
          <w:sz w:val="24"/>
          <w:highlight w:val="none"/>
        </w:rPr>
      </w:pPr>
      <w:r>
        <w:rPr>
          <w:rStyle w:val="1026"/>
          <w:rFonts w:hint="eastAsia" w:ascii="宋体" w:hAnsi="宋体" w:cs="宋体"/>
          <w:b/>
          <w:bCs/>
          <w:color w:val="auto"/>
          <w:sz w:val="24"/>
          <w:highlight w:val="none"/>
        </w:rPr>
        <w:t xml:space="preserve">（二）技术部分（70分）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1、对项目整体理解和总体管养运行维护思路比较：对项目周边自然条件、高架桥梁现状基本情况，总体思路表述等方面进行评分。理解彻底且思路清晰、条理明确、全面合理、考虑周全的得8分；有一定的理解、思路明确、具有合理性的得5分；不理解思路不清晰的得2分；不提供不得分；最高8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2、投标单位内部管理组织结构：管理组织结构清晰，安排科学有序，组织结构合理，分工责任明确的得8分；管理组织结构完整，有一定的计划安排，组织协调性得得5分；具有管理组织结构，部分计划安排合理有序的得2分；不提供不得分；最高8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3、维护期间与其他单位、部门的综合协调方案：维护期间与其他单位、部门的综合协调方案非常合理清晰得:8分，维护期间与其他单位、部门的综合协调方案比较合理清晰得5分；维护期间与其他单位、部门的综合协调方案有涉及但不全面得2分；不提供不得分；最高8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4、高架管养日常巡视及运营方案作业措施方案：方案科学合理，可行性高，针对性强，切合实际得8分；方案科学合理性一般、针对性较弱、可行性一般的得5分；方案科学合理性差、不切合实际的得2分；不提供不得分；最高8分。</w:t>
      </w:r>
      <w:r/>
    </w:p>
    <w:p>
      <w:pPr>
        <w:ind w:firstLine="480"/>
        <w:jc w:val="left"/>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5、主要维护方法及常见桥梁病害的维修（须针对高架维护作业来描写）：维护办法及标准、措施满足全部采购需求且实用性强，针对常见桥梁病害有具体完善解决办法得8分；部分维护办法及措施满足要求，针对常见道路病害有部分解决办法得5分；部分维护办法及措施满足要求，针对常见桥梁病害解决办法较少得2分；不提供不得分；最高8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6、维护文明方案比较：评审委员会根据项目服务过程中文明控制专项方案的科学性、可实施性评审。控制方案最完整全面、科学合理、可操作性最强的得8分；安全、文明等控制专项方案比较完整、比较合理、可操作性较强的得5分；综安全、文明等控制专项方案简单、不详细、合理性、可操作性一般的得2分；不提供不得分；最高8分。</w:t>
      </w:r>
      <w:r/>
    </w:p>
    <w:p>
      <w:pPr>
        <w:ind w:firstLine="480"/>
        <w:jc w:val="left"/>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7、应急预案：措施科学合理，应急响应时间迅速，问题沟通和解决机制简单有效，对项目安全、环保等风险进行分析，给出应对措施，操作性强的得8分；措施比较合理、应急响应时间较快，操作性较强、考虑较周全、能满足项目实施需要的得5分；应急响应时间最慢，措施简单，操作性一般的得2分；不提供不得分；最高8分。</w:t>
      </w:r>
      <w:r/>
    </w:p>
    <w:p>
      <w:pPr>
        <w:ind w:firstLine="480"/>
        <w:jc w:val="left"/>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8、特殊季节或天气防范措施：特殊季节或天气防范措施科学合理、有全面得应对措施，操作性强的得7分；特殊季节或天气防范措施合理，部分措施到位且针对性强的得4分，特殊季节或天气防范措施规范，有可操作的应对措施的得1分；不提供不得分；最高7分。</w:t>
      </w:r>
      <w:r/>
    </w:p>
    <w:p>
      <w:pPr>
        <w:ind w:firstLine="480"/>
        <w:jc w:val="left"/>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9、高架维护过程中的交通安全管理重点分析及处理方案：方案科学合理、完整全面、切实可行、操作性强、条理清晰的得7分；方案科学合理、切实可行的得4分；方案简单、不详细、合理性、可操作性一般的得1分；不提供不得分；最高7分</w:t>
      </w:r>
      <w:r/>
    </w:p>
    <w:p>
      <w:pPr>
        <w:spacing w:line="360" w:lineRule="auto"/>
        <w:rPr>
          <w:rStyle w:val="1026"/>
          <w:rFonts w:ascii="宋体" w:hAnsi="宋体" w:cs="宋体"/>
          <w:b/>
          <w:bCs/>
          <w:color w:val="auto"/>
          <w:sz w:val="24"/>
          <w:highlight w:val="none"/>
        </w:rPr>
      </w:pPr>
      <w:r>
        <w:rPr>
          <w:rStyle w:val="1026"/>
          <w:rFonts w:hint="eastAsia" w:ascii="宋体" w:hAnsi="宋体" w:cs="宋体"/>
          <w:b/>
          <w:bCs/>
          <w:color w:val="auto"/>
          <w:sz w:val="24"/>
          <w:highlight w:val="none"/>
        </w:rPr>
        <w:t xml:space="preserve">（三）企业综合实力（15分） </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1、类似管养项目业绩：9分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2021年1月1日起至今（以合同签订之日起）投标单位具有类似项目业绩的，每提供一个得3分，最高得9分。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注：投标文件中需提供有效合同扫描件及该项目任意金额的发票扫描件。未提供以上有效资料或提供不完整的，该项不得分。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2、体系认证证书：6分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投标人具有有效的质量管理体系认证证书、职业健康安全管理体系认证证书、环境管理体系认证证书每有一个得2分，本项最高6分。</w:t>
      </w:r>
      <w:r/>
    </w:p>
    <w:p>
      <w:pPr>
        <w:ind w:firstLine="480"/>
        <w:spacing w:line="360" w:lineRule="auto"/>
        <w:rPr>
          <w:rStyle w:val="1026"/>
          <w:rFonts w:ascii="宋体" w:hAnsi="宋体" w:cs="宋体"/>
          <w:bCs/>
          <w:color w:val="auto"/>
          <w:sz w:val="24"/>
          <w:highlight w:val="none"/>
        </w:rPr>
      </w:pPr>
      <w:r>
        <w:rPr>
          <w:rFonts w:hint="eastAsia" w:ascii="宋体" w:hAnsi="宋体" w:cs="宋体"/>
          <w:color w:val="auto"/>
          <w:sz w:val="24"/>
          <w:highlight w:val="none"/>
        </w:rPr>
        <w:t xml:space="preserve">注：投标文件中提供相应证书扫描件，还需提供该证书在中国国家认证认可监督管理委员会网站http://www.cnca.gov.cn/上查询的页面截图，上述要求提供的证明材料未提供或提供不完整的，该项都不得分。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【注：针对评分标准中评分的每一条，投标人在投标文件中均应提供相关资料并作出相应说明供评委评判，不提供相关资料的视为不具备该项得分的条件。】</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color w:val="auto"/>
          <w:highlight w:val="none"/>
        </w:rPr>
      </w:pPr>
      <w:r>
        <w:rPr>
          <w:rFonts w:hint="eastAsia" w:ascii="宋体" w:hAnsi="宋体" w:cs="宋体"/>
          <w:bCs/>
          <w:color w:val="auto"/>
          <w:sz w:val="24"/>
          <w:highlight w:val="none"/>
        </w:rPr>
        <w:t xml:space="preserve">（全文完）</w:t>
      </w:r>
      <w:bookmarkEnd w:id="63"/>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仿宋_GB2312">
    <w:panose1 w:val="02010609060101010101"/>
  </w:font>
  <w:font w:name="楷体_GB2312">
    <w:panose1 w:val="02010609060101010101"/>
  </w:font>
  <w:font w:name="Calibri Light">
    <w:panose1 w:val="020F0302020204030204"/>
  </w:font>
  <w:font w:name="Calibri">
    <w:panose1 w:val="020F0502020204030204"/>
  </w:font>
  <w:font w:name="Arial">
    <w:panose1 w:val="020B060402020202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etween w:val="none" w:color="000000" w:sz="0" w:space="0"/>
      </w:pBdr>
      <w:framePr w:wrap="around" w:vAnchor="text" w:hAnchor="margin" w:xAlign="center" w:y="1"/>
    </w:pPr>
    <w:r>
      <w:fldChar w:fldCharType="begin"/>
    </w:r>
    <w:r>
      <w:rPr>
        <w:rStyle w:val="933"/>
      </w:rPr>
      <w:instrText xml:space="preserve"> PAGE  </w:instrText>
    </w:r>
    <w:r>
      <w:fldChar w:fldCharType="separate"/>
    </w:r>
    <w:r>
      <w:rPr>
        <w:rStyle w:val="933"/>
      </w:rPr>
      <w:t xml:space="preserve">38</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1 Char"/>
    <w:basedOn w:val="702"/>
    <w:link w:val="700"/>
    <w:uiPriority w:val="9"/>
    <w:rPr>
      <w:rFonts w:ascii="Arial" w:hAnsi="Arial" w:eastAsia="Arial" w:cs="Arial"/>
      <w:sz w:val="40"/>
      <w:szCs w:val="40"/>
    </w:rPr>
  </w:style>
  <w:style w:type="character" w:styleId="655">
    <w:name w:val="Heading 2 Char"/>
    <w:basedOn w:val="702"/>
    <w:link w:val="701"/>
    <w:uiPriority w:val="9"/>
    <w:rPr>
      <w:rFonts w:ascii="Arial" w:hAnsi="Arial" w:eastAsia="Arial" w:cs="Arial"/>
      <w:sz w:val="34"/>
    </w:rPr>
  </w:style>
  <w:style w:type="paragraph" w:styleId="656">
    <w:name w:val="Heading 3"/>
    <w:basedOn w:val="699"/>
    <w:next w:val="699"/>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basedOn w:val="702"/>
    <w:link w:val="656"/>
    <w:uiPriority w:val="9"/>
    <w:rPr>
      <w:rFonts w:ascii="Arial" w:hAnsi="Arial" w:eastAsia="Arial" w:cs="Arial"/>
      <w:sz w:val="30"/>
      <w:szCs w:val="30"/>
    </w:rPr>
  </w:style>
  <w:style w:type="paragraph" w:styleId="658">
    <w:name w:val="Heading 4"/>
    <w:basedOn w:val="699"/>
    <w:next w:val="699"/>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basedOn w:val="702"/>
    <w:link w:val="658"/>
    <w:uiPriority w:val="9"/>
    <w:rPr>
      <w:rFonts w:ascii="Arial" w:hAnsi="Arial" w:eastAsia="Arial" w:cs="Arial"/>
      <w:b/>
      <w:bCs/>
      <w:sz w:val="26"/>
      <w:szCs w:val="26"/>
    </w:rPr>
  </w:style>
  <w:style w:type="paragraph" w:styleId="660">
    <w:name w:val="Heading 5"/>
    <w:basedOn w:val="699"/>
    <w:next w:val="699"/>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basedOn w:val="702"/>
    <w:link w:val="660"/>
    <w:uiPriority w:val="9"/>
    <w:rPr>
      <w:rFonts w:ascii="Arial" w:hAnsi="Arial" w:eastAsia="Arial" w:cs="Arial"/>
      <w:b/>
      <w:bCs/>
      <w:sz w:val="24"/>
      <w:szCs w:val="24"/>
    </w:rPr>
  </w:style>
  <w:style w:type="paragraph" w:styleId="662">
    <w:name w:val="Heading 6"/>
    <w:basedOn w:val="699"/>
    <w:next w:val="699"/>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basedOn w:val="702"/>
    <w:link w:val="662"/>
    <w:uiPriority w:val="9"/>
    <w:rPr>
      <w:rFonts w:ascii="Arial" w:hAnsi="Arial" w:eastAsia="Arial" w:cs="Arial"/>
      <w:b/>
      <w:bCs/>
      <w:sz w:val="22"/>
      <w:szCs w:val="22"/>
    </w:rPr>
  </w:style>
  <w:style w:type="paragraph" w:styleId="664">
    <w:name w:val="Heading 7"/>
    <w:basedOn w:val="699"/>
    <w:next w:val="699"/>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basedOn w:val="702"/>
    <w:link w:val="664"/>
    <w:uiPriority w:val="9"/>
    <w:rPr>
      <w:rFonts w:ascii="Arial" w:hAnsi="Arial" w:eastAsia="Arial" w:cs="Arial"/>
      <w:b/>
      <w:bCs/>
      <w:i/>
      <w:iCs/>
      <w:sz w:val="22"/>
      <w:szCs w:val="22"/>
    </w:rPr>
  </w:style>
  <w:style w:type="paragraph" w:styleId="666">
    <w:name w:val="Heading 8"/>
    <w:basedOn w:val="699"/>
    <w:next w:val="699"/>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basedOn w:val="702"/>
    <w:link w:val="666"/>
    <w:uiPriority w:val="9"/>
    <w:rPr>
      <w:rFonts w:ascii="Arial" w:hAnsi="Arial" w:eastAsia="Arial" w:cs="Arial"/>
      <w:i/>
      <w:iCs/>
      <w:sz w:val="22"/>
      <w:szCs w:val="22"/>
    </w:rPr>
  </w:style>
  <w:style w:type="paragraph" w:styleId="668">
    <w:name w:val="Heading 9"/>
    <w:basedOn w:val="699"/>
    <w:next w:val="69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basedOn w:val="702"/>
    <w:link w:val="668"/>
    <w:uiPriority w:val="9"/>
    <w:rPr>
      <w:rFonts w:ascii="Arial" w:hAnsi="Arial" w:eastAsia="Arial" w:cs="Arial"/>
      <w:i/>
      <w:iCs/>
      <w:sz w:val="21"/>
      <w:szCs w:val="21"/>
    </w:rPr>
  </w:style>
  <w:style w:type="character" w:styleId="670">
    <w:name w:val="Title Char"/>
    <w:basedOn w:val="702"/>
    <w:link w:val="736"/>
    <w:uiPriority w:val="10"/>
    <w:rPr>
      <w:sz w:val="48"/>
      <w:szCs w:val="48"/>
    </w:rPr>
  </w:style>
  <w:style w:type="character" w:styleId="671">
    <w:name w:val="Subtitle Char"/>
    <w:basedOn w:val="702"/>
    <w:link w:val="727"/>
    <w:uiPriority w:val="11"/>
    <w:rPr>
      <w:sz w:val="24"/>
      <w:szCs w:val="24"/>
    </w:rPr>
  </w:style>
  <w:style w:type="character" w:styleId="672">
    <w:name w:val="Quote Char"/>
    <w:link w:val="793"/>
    <w:uiPriority w:val="29"/>
    <w:rPr>
      <w:i/>
    </w:rPr>
  </w:style>
  <w:style w:type="character" w:styleId="673">
    <w:name w:val="Intense Quote Char"/>
    <w:link w:val="795"/>
    <w:uiPriority w:val="30"/>
    <w:rPr>
      <w:i/>
    </w:rPr>
  </w:style>
  <w:style w:type="character" w:styleId="674">
    <w:name w:val="Header Char"/>
    <w:basedOn w:val="702"/>
    <w:link w:val="724"/>
    <w:uiPriority w:val="99"/>
  </w:style>
  <w:style w:type="character" w:styleId="675">
    <w:name w:val="Footer Char"/>
    <w:basedOn w:val="702"/>
    <w:link w:val="722"/>
    <w:uiPriority w:val="99"/>
  </w:style>
  <w:style w:type="paragraph" w:styleId="676">
    <w:name w:val="Caption"/>
    <w:basedOn w:val="699"/>
    <w:next w:val="699"/>
    <w:uiPriority w:val="35"/>
    <w:semiHidden/>
    <w:unhideWhenUsed/>
    <w:qFormat/>
    <w:pPr>
      <w:spacing w:line="276" w:lineRule="auto"/>
    </w:pPr>
    <w:rPr>
      <w:b/>
      <w:bCs/>
      <w:color w:val="4f81bd" w:themeColor="accent1"/>
      <w:sz w:val="18"/>
      <w:szCs w:val="18"/>
    </w:rPr>
  </w:style>
  <w:style w:type="table" w:styleId="677">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2">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3">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6">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7">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8">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9">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1">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4">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6">
    <w:name w:val="Footnote Text Char"/>
    <w:link w:val="729"/>
    <w:uiPriority w:val="99"/>
    <w:rPr>
      <w:sz w:val="18"/>
    </w:rPr>
  </w:style>
  <w:style w:type="character" w:styleId="697">
    <w:name w:val="Endnote Text Char"/>
    <w:link w:val="720"/>
    <w:uiPriority w:val="99"/>
    <w:rPr>
      <w:sz w:val="20"/>
    </w:rPr>
  </w:style>
  <w:style w:type="paragraph" w:styleId="698">
    <w:name w:val="TOC Heading"/>
    <w:uiPriority w:val="39"/>
    <w:unhideWhenUsed/>
  </w:style>
  <w:style w:type="paragraph" w:styleId="699" w:default="1">
    <w:name w:val="Normal"/>
    <w:next w:val="704"/>
    <w:uiPriority w:val="0"/>
    <w:qFormat/>
    <w:pPr>
      <w:jc w:val="both"/>
      <w:widowControl w:val="off"/>
    </w:pPr>
    <w:rPr>
      <w:rFonts w:ascii="Calibri" w:hAnsi="Calibri" w:eastAsia="宋体" w:cs="Times New Roman"/>
      <w:sz w:val="21"/>
      <w:szCs w:val="24"/>
      <w:lang w:val="en-US" w:eastAsia="zh-CN" w:bidi="ar-SA"/>
    </w:rPr>
  </w:style>
  <w:style w:type="paragraph" w:styleId="700">
    <w:name w:val="Heading 1"/>
    <w:basedOn w:val="699"/>
    <w:next w:val="699"/>
    <w:uiPriority w:val="9"/>
    <w:qFormat/>
    <w:pPr>
      <w:keepLines/>
      <w:keepNext/>
      <w:spacing w:before="340" w:after="330" w:line="578" w:lineRule="auto"/>
      <w:outlineLvl w:val="0"/>
    </w:pPr>
    <w:rPr>
      <w:b/>
      <w:sz w:val="44"/>
    </w:rPr>
  </w:style>
  <w:style w:type="paragraph" w:styleId="701">
    <w:name w:val="Heading 2"/>
    <w:basedOn w:val="699"/>
    <w:next w:val="699"/>
    <w:link w:val="753"/>
    <w:uiPriority w:val="9"/>
    <w:qFormat/>
    <w:pPr>
      <w:keepLines/>
      <w:keepNext/>
      <w:spacing w:before="260" w:after="260" w:line="416" w:lineRule="auto"/>
      <w:outlineLvl w:val="1"/>
    </w:pPr>
    <w:rPr>
      <w:rFonts w:ascii="Calibri Light" w:hAnsi="Calibri Light"/>
      <w:b/>
      <w:bCs/>
      <w:sz w:val="32"/>
      <w:szCs w:val="32"/>
    </w:rPr>
  </w:style>
  <w:style w:type="character" w:styleId="702" w:default="1">
    <w:name w:val="Default Paragraph Font"/>
    <w:uiPriority w:val="1"/>
    <w:semiHidden/>
    <w:unhideWhenUsed/>
  </w:style>
  <w:style w:type="table" w:styleId="703" w:default="1">
    <w:name w:val="Normal Table"/>
    <w:uiPriority w:val="99"/>
    <w:semiHidden/>
    <w:unhideWhenUsed/>
    <w:tblPr>
      <w:tblLayout w:type="fixed"/>
      <w:tblCellMar>
        <w:left w:w="108" w:type="dxa"/>
        <w:top w:w="0" w:type="dxa"/>
        <w:right w:w="108" w:type="dxa"/>
        <w:bottom w:w="0" w:type="dxa"/>
      </w:tblCellMar>
    </w:tblPr>
  </w:style>
  <w:style w:type="paragraph" w:styleId="704" w:customStyle="1">
    <w:name w:val="正文文本11"/>
    <w:basedOn w:val="699"/>
    <w:next w:val="705"/>
    <w:uiPriority w:val="99"/>
    <w:qFormat/>
    <w:pPr>
      <w:spacing w:after="120"/>
    </w:pPr>
    <w:rPr>
      <w:rFonts w:ascii="Times New Roman" w:hAnsi="Times New Roman"/>
      <w:sz w:val="20"/>
      <w:szCs w:val="20"/>
    </w:rPr>
  </w:style>
  <w:style w:type="paragraph" w:styleId="705" w:customStyle="1">
    <w:name w:val="正文缩进111"/>
    <w:basedOn w:val="699"/>
    <w:next w:val="699"/>
    <w:uiPriority w:val="0"/>
    <w:qFormat/>
    <w:pPr>
      <w:ind w:firstLine="420"/>
      <w:jc w:val="left"/>
    </w:pPr>
    <w:rPr>
      <w:rFonts w:ascii="Times New Roman" w:hAnsi="Times New Roman" w:eastAsia="楷体_GB2312"/>
      <w:sz w:val="24"/>
      <w:szCs w:val="20"/>
    </w:rPr>
  </w:style>
  <w:style w:type="paragraph" w:styleId="706">
    <w:name w:val="annotation subject"/>
    <w:basedOn w:val="707"/>
    <w:next w:val="707"/>
    <w:link w:val="1028"/>
    <w:uiPriority w:val="99"/>
    <w:qFormat/>
    <w:rPr>
      <w:b/>
      <w:bCs/>
      <w:szCs w:val="22"/>
    </w:rPr>
  </w:style>
  <w:style w:type="paragraph" w:styleId="707">
    <w:name w:val="annotation text"/>
    <w:basedOn w:val="699"/>
    <w:link w:val="754"/>
    <w:uiPriority w:val="99"/>
    <w:qFormat/>
    <w:pPr>
      <w:jc w:val="left"/>
    </w:pPr>
  </w:style>
  <w:style w:type="paragraph" w:styleId="708">
    <w:name w:val="toc 7"/>
    <w:basedOn w:val="699"/>
    <w:next w:val="699"/>
    <w:uiPriority w:val="39"/>
    <w:qFormat/>
    <w:pPr>
      <w:ind w:left="1701"/>
      <w:spacing w:after="57"/>
    </w:pPr>
  </w:style>
  <w:style w:type="paragraph" w:styleId="709">
    <w:name w:val="Body Text First Indent"/>
    <w:link w:val="1029"/>
    <w:uiPriority w:val="0"/>
    <w:qFormat/>
    <w:pPr>
      <w:ind w:firstLine="420"/>
      <w:jc w:val="center"/>
      <w:spacing w:after="120" w:line="360" w:lineRule="auto"/>
      <w:widowControl w:val="off"/>
      <w:tabs>
        <w:tab w:val="left" w:pos="5250" w:leader="none"/>
      </w:tabs>
    </w:pPr>
    <w:rPr>
      <w:rFonts w:ascii="宋体" w:hAnsi="宋体" w:eastAsia="宋体" w:cs="Times New Roman"/>
      <w:sz w:val="24"/>
      <w:szCs w:val="24"/>
      <w:lang w:val="en-US" w:eastAsia="zh-CN" w:bidi="ar-SA"/>
    </w:rPr>
  </w:style>
  <w:style w:type="paragraph" w:styleId="710">
    <w:name w:val="Normal Indent"/>
    <w:basedOn w:val="699"/>
    <w:next w:val="699"/>
    <w:uiPriority w:val="0"/>
    <w:qFormat/>
    <w:pPr>
      <w:ind w:firstLine="200"/>
    </w:pPr>
    <w:rPr>
      <w:sz w:val="24"/>
    </w:rPr>
  </w:style>
  <w:style w:type="paragraph" w:styleId="711">
    <w:name w:val="Body Text"/>
    <w:basedOn w:val="699"/>
    <w:next w:val="710"/>
    <w:link w:val="755"/>
    <w:uiPriority w:val="0"/>
    <w:qFormat/>
    <w:pPr>
      <w:spacing w:after="120"/>
    </w:pPr>
  </w:style>
  <w:style w:type="paragraph" w:styleId="712">
    <w:name w:val="Body Text Indent"/>
    <w:basedOn w:val="699"/>
    <w:next w:val="713"/>
    <w:link w:val="756"/>
    <w:uiPriority w:val="0"/>
    <w:qFormat/>
    <w:pPr>
      <w:ind w:left="420"/>
      <w:spacing w:after="120"/>
    </w:pPr>
  </w:style>
  <w:style w:type="paragraph" w:styleId="713" w:customStyle="1">
    <w:name w:val="目录 51"/>
    <w:next w:val="699"/>
    <w:uiPriority w:val="0"/>
    <w:qFormat/>
    <w:pPr>
      <w:ind w:left="1275"/>
      <w:jc w:val="both"/>
    </w:pPr>
    <w:rPr>
      <w:rFonts w:ascii="Calibri" w:hAnsi="Calibri" w:eastAsia="宋体" w:cs="Times New Roman"/>
      <w:sz w:val="21"/>
      <w:lang w:val="en-US" w:eastAsia="zh-CN" w:bidi="ar-SA"/>
    </w:rPr>
  </w:style>
  <w:style w:type="paragraph" w:styleId="714">
    <w:name w:val="Block Text"/>
    <w:basedOn w:val="700"/>
    <w:next w:val="699"/>
    <w:uiPriority w:val="0"/>
    <w:qFormat/>
    <w:pPr>
      <w:ind w:left="630" w:right="-609" w:firstLine="420"/>
      <w:spacing w:line="360" w:lineRule="auto"/>
    </w:pPr>
    <w:rPr>
      <w:rFonts w:hint="eastAsia" w:ascii="仿宋_GB2312" w:hAnsi="Times New Roman" w:eastAsia="仿宋_GB2312"/>
      <w:sz w:val="21"/>
    </w:rPr>
  </w:style>
  <w:style w:type="paragraph" w:styleId="715">
    <w:name w:val="toc 5"/>
    <w:basedOn w:val="699"/>
    <w:next w:val="699"/>
    <w:uiPriority w:val="39"/>
    <w:qFormat/>
    <w:pPr>
      <w:ind w:left="1134"/>
      <w:spacing w:after="57"/>
    </w:pPr>
  </w:style>
  <w:style w:type="paragraph" w:styleId="716">
    <w:name w:val="toc 3"/>
    <w:basedOn w:val="699"/>
    <w:next w:val="699"/>
    <w:uiPriority w:val="39"/>
    <w:qFormat/>
    <w:pPr>
      <w:ind w:left="567"/>
      <w:spacing w:after="57"/>
    </w:pPr>
  </w:style>
  <w:style w:type="paragraph" w:styleId="717">
    <w:name w:val="Plain Text"/>
    <w:basedOn w:val="699"/>
    <w:link w:val="757"/>
    <w:uiPriority w:val="0"/>
    <w:qFormat/>
    <w:rPr>
      <w:rFonts w:ascii="宋体" w:hAnsi="Courier New"/>
    </w:rPr>
  </w:style>
  <w:style w:type="paragraph" w:styleId="718">
    <w:name w:val="toc 8"/>
    <w:basedOn w:val="699"/>
    <w:next w:val="699"/>
    <w:uiPriority w:val="39"/>
    <w:qFormat/>
    <w:pPr>
      <w:ind w:left="1984"/>
      <w:spacing w:after="57"/>
    </w:pPr>
  </w:style>
  <w:style w:type="paragraph" w:styleId="719">
    <w:name w:val="Body Text Indent 2"/>
    <w:basedOn w:val="699"/>
    <w:link w:val="758"/>
    <w:uiPriority w:val="0"/>
    <w:qFormat/>
    <w:pPr>
      <w:ind w:left="1" w:firstLine="480"/>
      <w:spacing w:line="400" w:lineRule="exact"/>
      <w:tabs>
        <w:tab w:val="left" w:pos="360" w:leader="none"/>
      </w:tabs>
    </w:pPr>
    <w:rPr>
      <w:rFonts w:ascii="Times New Roman" w:hAnsi="Times New Roman"/>
      <w:sz w:val="24"/>
    </w:rPr>
  </w:style>
  <w:style w:type="paragraph" w:styleId="720">
    <w:name w:val="endnote text"/>
    <w:basedOn w:val="699"/>
    <w:link w:val="759"/>
    <w:uiPriority w:val="99"/>
    <w:qFormat/>
    <w:rPr>
      <w:sz w:val="20"/>
    </w:rPr>
  </w:style>
  <w:style w:type="paragraph" w:styleId="721">
    <w:name w:val="Balloon Text"/>
    <w:basedOn w:val="699"/>
    <w:link w:val="1030"/>
    <w:uiPriority w:val="0"/>
    <w:qFormat/>
    <w:rPr>
      <w:rFonts w:cs="宋体"/>
      <w:sz w:val="18"/>
      <w:szCs w:val="18"/>
    </w:rPr>
  </w:style>
  <w:style w:type="paragraph" w:styleId="722">
    <w:name w:val="Footer"/>
    <w:basedOn w:val="699"/>
    <w:link w:val="760"/>
    <w:uiPriority w:val="0"/>
    <w:qFormat/>
    <w:pPr>
      <w:jc w:val="left"/>
      <w:tabs>
        <w:tab w:val="center" w:pos="4140" w:leader="none"/>
        <w:tab w:val="right" w:pos="8300" w:leader="none"/>
      </w:tabs>
    </w:pPr>
    <w:rPr>
      <w:sz w:val="18"/>
      <w:szCs w:val="18"/>
    </w:rPr>
  </w:style>
  <w:style w:type="paragraph" w:styleId="723">
    <w:name w:val="Body Text First Indent 2"/>
    <w:basedOn w:val="712"/>
    <w:link w:val="761"/>
    <w:uiPriority w:val="99"/>
    <w:qFormat/>
    <w:pPr>
      <w:ind w:firstLine="420"/>
    </w:pPr>
    <w:rPr>
      <w:rFonts w:ascii="楷体_GB2312" w:eastAsia="楷体_GB2312"/>
    </w:rPr>
  </w:style>
  <w:style w:type="paragraph" w:styleId="724">
    <w:name w:val="Header"/>
    <w:basedOn w:val="699"/>
    <w:link w:val="102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9"/>
    <w:next w:val="699"/>
    <w:uiPriority w:val="0"/>
    <w:qFormat/>
    <w:pPr>
      <w:spacing w:after="57"/>
    </w:pPr>
  </w:style>
  <w:style w:type="paragraph" w:styleId="726">
    <w:name w:val="toc 4"/>
    <w:basedOn w:val="699"/>
    <w:next w:val="699"/>
    <w:uiPriority w:val="39"/>
    <w:qFormat/>
    <w:pPr>
      <w:ind w:left="850"/>
      <w:spacing w:after="57"/>
    </w:pPr>
  </w:style>
  <w:style w:type="paragraph" w:styleId="727">
    <w:name w:val="Subtitle"/>
    <w:basedOn w:val="699"/>
    <w:next w:val="699"/>
    <w:link w:val="762"/>
    <w:uiPriority w:val="11"/>
    <w:qFormat/>
    <w:pPr>
      <w:spacing w:before="200" w:after="200"/>
    </w:pPr>
    <w:rPr>
      <w:sz w:val="24"/>
    </w:rPr>
  </w:style>
  <w:style w:type="paragraph" w:styleId="728">
    <w:name w:val="List"/>
    <w:basedOn w:val="699"/>
    <w:uiPriority w:val="0"/>
    <w:qFormat/>
    <w:pPr>
      <w:jc w:val="center"/>
      <w:spacing w:line="20" w:lineRule="atLeast"/>
    </w:pPr>
    <w:rPr>
      <w:rFonts w:ascii="Arial" w:hAnsi="Arial" w:eastAsia="幼圆_GB2312"/>
      <w:sz w:val="18"/>
    </w:rPr>
  </w:style>
  <w:style w:type="paragraph" w:styleId="729">
    <w:name w:val="footnote text"/>
    <w:basedOn w:val="700"/>
    <w:next w:val="714"/>
    <w:link w:val="763"/>
    <w:uiPriority w:val="99"/>
    <w:qFormat/>
    <w:pPr>
      <w:spacing w:after="40"/>
    </w:pPr>
    <w:rPr>
      <w:sz w:val="18"/>
    </w:rPr>
  </w:style>
  <w:style w:type="paragraph" w:styleId="730">
    <w:name w:val="toc 6"/>
    <w:basedOn w:val="699"/>
    <w:next w:val="699"/>
    <w:uiPriority w:val="39"/>
    <w:qFormat/>
    <w:pPr>
      <w:ind w:left="1417"/>
      <w:spacing w:after="57"/>
    </w:pPr>
  </w:style>
  <w:style w:type="paragraph" w:styleId="731">
    <w:name w:val="Body Text Indent 3"/>
    <w:basedOn w:val="699"/>
    <w:link w:val="1031"/>
    <w:uiPriority w:val="0"/>
    <w:qFormat/>
    <w:pPr>
      <w:ind w:firstLine="480"/>
      <w:jc w:val="left"/>
      <w:spacing w:line="300" w:lineRule="auto"/>
    </w:pPr>
    <w:rPr>
      <w:rFonts w:cs="宋体"/>
      <w:sz w:val="24"/>
    </w:rPr>
  </w:style>
  <w:style w:type="paragraph" w:styleId="732">
    <w:name w:val="table of figures"/>
    <w:basedOn w:val="699"/>
    <w:next w:val="699"/>
    <w:uiPriority w:val="99"/>
    <w:qFormat/>
  </w:style>
  <w:style w:type="paragraph" w:styleId="733">
    <w:name w:val="toc 2"/>
    <w:basedOn w:val="699"/>
    <w:next w:val="699"/>
    <w:uiPriority w:val="39"/>
    <w:qFormat/>
    <w:pPr>
      <w:ind w:left="283"/>
      <w:spacing w:after="57"/>
    </w:pPr>
  </w:style>
  <w:style w:type="paragraph" w:styleId="734">
    <w:name w:val="toc 9"/>
    <w:basedOn w:val="699"/>
    <w:next w:val="699"/>
    <w:uiPriority w:val="39"/>
    <w:qFormat/>
    <w:pPr>
      <w:ind w:left="2268"/>
      <w:spacing w:after="57"/>
    </w:pPr>
  </w:style>
  <w:style w:type="paragraph" w:styleId="735">
    <w:name w:val="Normal (Web)"/>
    <w:basedOn w:val="699"/>
    <w:uiPriority w:val="99"/>
    <w:qFormat/>
    <w:pPr>
      <w:jc w:val="left"/>
      <w:spacing w:before="100" w:beforeAutospacing="1" w:after="100" w:afterAutospacing="1"/>
      <w:widowControl/>
    </w:pPr>
    <w:rPr>
      <w:rFonts w:ascii="宋体" w:hAnsi="宋体"/>
      <w:sz w:val="24"/>
    </w:rPr>
  </w:style>
  <w:style w:type="paragraph" w:styleId="736">
    <w:name w:val="Title"/>
    <w:basedOn w:val="699"/>
    <w:next w:val="699"/>
    <w:link w:val="764"/>
    <w:uiPriority w:val="10"/>
    <w:qFormat/>
    <w:pPr>
      <w:contextualSpacing/>
      <w:spacing w:before="300" w:after="200"/>
    </w:pPr>
    <w:rPr>
      <w:sz w:val="48"/>
      <w:szCs w:val="48"/>
    </w:rPr>
  </w:style>
  <w:style w:type="character" w:styleId="737">
    <w:name w:val="Strong"/>
    <w:basedOn w:val="702"/>
    <w:uiPriority w:val="0"/>
    <w:qFormat/>
    <w:rPr>
      <w:b/>
    </w:rPr>
  </w:style>
  <w:style w:type="character" w:styleId="738">
    <w:name w:val="endnote reference"/>
    <w:uiPriority w:val="99"/>
    <w:qFormat/>
    <w:rPr>
      <w:vertAlign w:val="superscript"/>
    </w:rPr>
  </w:style>
  <w:style w:type="character" w:styleId="739">
    <w:name w:val="page number"/>
    <w:uiPriority w:val="0"/>
    <w:qFormat/>
  </w:style>
  <w:style w:type="character" w:styleId="740">
    <w:name w:val="FollowedHyperlink"/>
    <w:basedOn w:val="702"/>
    <w:uiPriority w:val="0"/>
    <w:qFormat/>
    <w:rPr>
      <w:color w:val="333333"/>
      <w:u w:val="none"/>
    </w:rPr>
  </w:style>
  <w:style w:type="character" w:styleId="741">
    <w:name w:val="Emphasis"/>
    <w:basedOn w:val="702"/>
    <w:uiPriority w:val="0"/>
    <w:qFormat/>
  </w:style>
  <w:style w:type="character" w:styleId="742">
    <w:name w:val="Hyperlink"/>
    <w:uiPriority w:val="0"/>
    <w:qFormat/>
    <w:rPr>
      <w:color w:val="0000ff"/>
      <w:u w:val="single"/>
    </w:rPr>
  </w:style>
  <w:style w:type="character" w:styleId="743">
    <w:name w:val="annotation reference"/>
    <w:basedOn w:val="702"/>
    <w:uiPriority w:val="99"/>
    <w:qFormat/>
    <w:rPr>
      <w:sz w:val="21"/>
      <w:szCs w:val="21"/>
    </w:rPr>
  </w:style>
  <w:style w:type="character" w:styleId="744">
    <w:name w:val="footnote reference"/>
    <w:uiPriority w:val="99"/>
    <w:qFormat/>
    <w:rPr>
      <w:vertAlign w:val="superscript"/>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746">
    <w:name w:val="Medium Grid 3"/>
    <w:basedOn w:val="703"/>
    <w:uiPriority w:val="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cce8c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47">
    <w:name w:val="Medium Grid 3 Accent 1"/>
    <w:basedOn w:val="703"/>
    <w:uiPriority w:val="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4f81bd"/>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cce8c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48">
    <w:name w:val="Medium Grid 3 Accent 2"/>
    <w:basedOn w:val="703"/>
    <w:uiPriority w:val="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c0504d"/>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cce8c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49">
    <w:name w:val="Medium Grid 3 Accent 3"/>
    <w:basedOn w:val="703"/>
    <w:uiPriority w:val="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9bbb59"/>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cce8c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50">
    <w:name w:val="Medium Grid 3 Accent 4"/>
    <w:basedOn w:val="703"/>
    <w:uiPriority w:val="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8064a2"/>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cce8c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51">
    <w:name w:val="Medium Grid 3 Accent 5"/>
    <w:basedOn w:val="703"/>
    <w:uiPriority w:val="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4bacc6"/>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cce8c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752">
    <w:name w:val="Medium Grid 3 Accent 6"/>
    <w:basedOn w:val="703"/>
    <w:uiPriority w:val="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Layout w:type="fixed"/>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cce8cf"/>
      </w:rPr>
      <w:tcPr>
        <w:shd w:val="clear" w:color="auto" w:fill="f79646"/>
        <w:tcBorders>
          <w:left w:val="single" w:color="CCE8CF" w:sz="8" w:space="0"/>
          <w:right w:val="single" w:color="CCE8CF" w:sz="24" w:space="0"/>
          <w:insideH w:val="none" w:color="000000" w:sz="4" w:space="0"/>
          <w:insideV w:val="none" w:color="000000" w:sz="4" w:space="0"/>
        </w:tcBorders>
      </w:tcPr>
    </w:tblStylePr>
    <w:tblStylePr w:type="firstRow">
      <w:rPr>
        <w:b/>
        <w:bCs/>
        <w:i w:val="0"/>
        <w:iCs w:val="0"/>
        <w:color w:val="cce8c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cce8c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cce8c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753" w:customStyle="1">
    <w:name w:val="标题 2 字符"/>
    <w:basedOn w:val="702"/>
    <w:link w:val="701"/>
    <w:uiPriority w:val="0"/>
    <w:qFormat/>
    <w:rPr>
      <w:rFonts w:ascii="Calibri Light" w:hAnsi="Calibri Light"/>
      <w:b/>
      <w:bCs/>
      <w:sz w:val="32"/>
      <w:szCs w:val="32"/>
    </w:rPr>
  </w:style>
  <w:style w:type="character" w:styleId="754" w:customStyle="1">
    <w:name w:val="批注文字 字符"/>
    <w:basedOn w:val="702"/>
    <w:link w:val="707"/>
    <w:uiPriority w:val="99"/>
    <w:qFormat/>
    <w:rPr>
      <w:rFonts w:ascii="Calibri" w:hAnsi="Calibri"/>
      <w:sz w:val="21"/>
      <w:szCs w:val="24"/>
    </w:rPr>
  </w:style>
  <w:style w:type="character" w:styleId="755" w:customStyle="1">
    <w:name w:val="正文文本 字符"/>
    <w:basedOn w:val="702"/>
    <w:link w:val="711"/>
    <w:uiPriority w:val="0"/>
    <w:qFormat/>
    <w:rPr>
      <w:rFonts w:ascii="Calibri" w:hAnsi="Calibri"/>
      <w:sz w:val="21"/>
      <w:szCs w:val="24"/>
    </w:rPr>
  </w:style>
  <w:style w:type="character" w:styleId="756" w:customStyle="1">
    <w:name w:val="正文文本缩进 字符"/>
    <w:basedOn w:val="702"/>
    <w:link w:val="712"/>
    <w:uiPriority w:val="99"/>
    <w:qFormat/>
    <w:rPr>
      <w:rFonts w:ascii="Calibri" w:hAnsi="Calibri"/>
      <w:sz w:val="21"/>
      <w:szCs w:val="24"/>
    </w:rPr>
  </w:style>
  <w:style w:type="character" w:styleId="757" w:customStyle="1">
    <w:name w:val="纯文本 字符"/>
    <w:basedOn w:val="702"/>
    <w:link w:val="717"/>
    <w:uiPriority w:val="0"/>
    <w:qFormat/>
    <w:rPr>
      <w:rFonts w:ascii="宋体" w:hAnsi="Courier New"/>
      <w:sz w:val="21"/>
      <w:szCs w:val="24"/>
    </w:rPr>
  </w:style>
  <w:style w:type="character" w:styleId="758" w:customStyle="1">
    <w:name w:val="正文文本缩进 2 字符"/>
    <w:basedOn w:val="702"/>
    <w:link w:val="719"/>
    <w:uiPriority w:val="0"/>
    <w:qFormat/>
    <w:rPr>
      <w:sz w:val="24"/>
      <w:szCs w:val="24"/>
    </w:rPr>
  </w:style>
  <w:style w:type="character" w:styleId="759" w:customStyle="1">
    <w:name w:val="尾注文本 字符"/>
    <w:link w:val="720"/>
    <w:uiPriority w:val="99"/>
    <w:qFormat/>
    <w:rPr>
      <w:sz w:val="20"/>
    </w:rPr>
  </w:style>
  <w:style w:type="character" w:styleId="760" w:customStyle="1">
    <w:name w:val="页脚 字符1"/>
    <w:basedOn w:val="702"/>
    <w:link w:val="722"/>
    <w:uiPriority w:val="99"/>
    <w:qFormat/>
    <w:rPr>
      <w:rFonts w:ascii="Calibri" w:hAnsi="Calibri"/>
      <w:sz w:val="18"/>
      <w:szCs w:val="18"/>
    </w:rPr>
  </w:style>
  <w:style w:type="character" w:styleId="761" w:customStyle="1">
    <w:name w:val="正文首行缩进 2 字符"/>
    <w:basedOn w:val="756"/>
    <w:link w:val="723"/>
    <w:uiPriority w:val="99"/>
    <w:qFormat/>
    <w:rPr>
      <w:rFonts w:ascii="楷体_GB2312" w:hAnsi="Calibri" w:eastAsia="楷体_GB2312"/>
      <w:sz w:val="21"/>
      <w:szCs w:val="24"/>
    </w:rPr>
  </w:style>
  <w:style w:type="character" w:styleId="762" w:customStyle="1">
    <w:name w:val="副标题 字符"/>
    <w:link w:val="727"/>
    <w:uiPriority w:val="11"/>
    <w:qFormat/>
    <w:rPr>
      <w:sz w:val="24"/>
      <w:szCs w:val="24"/>
    </w:rPr>
  </w:style>
  <w:style w:type="character" w:styleId="763" w:customStyle="1">
    <w:name w:val="脚注文本 字符"/>
    <w:link w:val="729"/>
    <w:uiPriority w:val="99"/>
    <w:qFormat/>
    <w:rPr>
      <w:sz w:val="18"/>
    </w:rPr>
  </w:style>
  <w:style w:type="character" w:styleId="764" w:customStyle="1">
    <w:name w:val="标题 字符"/>
    <w:link w:val="736"/>
    <w:uiPriority w:val="10"/>
    <w:qFormat/>
    <w:rPr>
      <w:sz w:val="48"/>
      <w:szCs w:val="48"/>
    </w:rPr>
  </w:style>
  <w:style w:type="paragraph" w:styleId="765" w:customStyle="1">
    <w:name w:val="标题 11"/>
    <w:basedOn w:val="699"/>
    <w:next w:val="699"/>
    <w:link w:val="766"/>
    <w:uiPriority w:val="0"/>
    <w:qFormat/>
    <w:pPr>
      <w:keepLines/>
      <w:keepNext/>
      <w:spacing w:before="480" w:after="200"/>
      <w:outlineLvl w:val="0"/>
    </w:pPr>
    <w:rPr>
      <w:rFonts w:ascii="Arial" w:hAnsi="Arial" w:eastAsia="Arial" w:cs="Arial"/>
      <w:sz w:val="40"/>
      <w:szCs w:val="40"/>
    </w:rPr>
  </w:style>
  <w:style w:type="character" w:styleId="766" w:customStyle="1">
    <w:name w:val="Heading 1 Char_fe34814a-46ac-4af7-8dcc-edd96935b7d3"/>
    <w:link w:val="765"/>
    <w:uiPriority w:val="9"/>
    <w:qFormat/>
    <w:rPr>
      <w:rFonts w:ascii="Arial" w:hAnsi="Arial" w:eastAsia="Arial" w:cs="Arial"/>
      <w:sz w:val="40"/>
      <w:szCs w:val="40"/>
    </w:rPr>
  </w:style>
  <w:style w:type="paragraph" w:styleId="767" w:customStyle="1">
    <w:name w:val="标题 21"/>
    <w:basedOn w:val="699"/>
    <w:next w:val="699"/>
    <w:link w:val="768"/>
    <w:uiPriority w:val="9"/>
    <w:qFormat/>
    <w:pPr>
      <w:keepLines/>
      <w:keepNext/>
      <w:spacing w:before="360" w:after="200"/>
      <w:outlineLvl w:val="1"/>
    </w:pPr>
    <w:rPr>
      <w:rFonts w:ascii="Arial" w:hAnsi="Arial" w:eastAsia="Arial" w:cs="Arial"/>
      <w:sz w:val="34"/>
    </w:rPr>
  </w:style>
  <w:style w:type="character" w:styleId="768" w:customStyle="1">
    <w:name w:val="Heading 2 Char_091126e4-6e3e-4053-8969-e65bd1617b80"/>
    <w:link w:val="767"/>
    <w:uiPriority w:val="9"/>
    <w:qFormat/>
    <w:rPr>
      <w:rFonts w:ascii="Arial" w:hAnsi="Arial" w:eastAsia="Arial" w:cs="Arial"/>
      <w:sz w:val="34"/>
    </w:rPr>
  </w:style>
  <w:style w:type="paragraph" w:styleId="769" w:customStyle="1">
    <w:name w:val="标题 31"/>
    <w:basedOn w:val="699"/>
    <w:next w:val="699"/>
    <w:link w:val="770"/>
    <w:uiPriority w:val="9"/>
    <w:qFormat/>
    <w:pPr>
      <w:keepLines/>
      <w:keepNext/>
      <w:spacing w:before="320" w:after="200"/>
      <w:outlineLvl w:val="2"/>
    </w:pPr>
    <w:rPr>
      <w:rFonts w:ascii="Arial" w:hAnsi="Arial" w:eastAsia="Arial" w:cs="Arial"/>
      <w:sz w:val="30"/>
      <w:szCs w:val="30"/>
    </w:rPr>
  </w:style>
  <w:style w:type="character" w:styleId="770" w:customStyle="1">
    <w:name w:val="Heading 3 Char_3f1022c8-59c4-4d32-bfa3-7d04cfce3a33"/>
    <w:link w:val="769"/>
    <w:uiPriority w:val="9"/>
    <w:qFormat/>
    <w:rPr>
      <w:rFonts w:ascii="Arial" w:hAnsi="Arial" w:eastAsia="Arial" w:cs="Arial"/>
      <w:sz w:val="30"/>
      <w:szCs w:val="30"/>
    </w:rPr>
  </w:style>
  <w:style w:type="paragraph" w:styleId="771" w:customStyle="1">
    <w:name w:val="标题 41"/>
    <w:basedOn w:val="699"/>
    <w:next w:val="699"/>
    <w:link w:val="772"/>
    <w:uiPriority w:val="9"/>
    <w:qFormat/>
    <w:pPr>
      <w:keepLines/>
      <w:keepNext/>
      <w:spacing w:before="320" w:after="200"/>
      <w:outlineLvl w:val="3"/>
    </w:pPr>
    <w:rPr>
      <w:rFonts w:ascii="Arial" w:hAnsi="Arial" w:eastAsia="Arial" w:cs="Arial"/>
      <w:b/>
      <w:bCs/>
      <w:sz w:val="26"/>
      <w:szCs w:val="26"/>
    </w:rPr>
  </w:style>
  <w:style w:type="character" w:styleId="772" w:customStyle="1">
    <w:name w:val="Heading 4 Char_c34cc6ed-f69e-42d7-bd8a-59db8686e28d"/>
    <w:link w:val="771"/>
    <w:uiPriority w:val="9"/>
    <w:qFormat/>
    <w:rPr>
      <w:rFonts w:ascii="Arial" w:hAnsi="Arial" w:eastAsia="Arial" w:cs="Arial"/>
      <w:b/>
      <w:bCs/>
      <w:sz w:val="26"/>
      <w:szCs w:val="26"/>
    </w:rPr>
  </w:style>
  <w:style w:type="paragraph" w:styleId="773" w:customStyle="1">
    <w:name w:val="标题 51"/>
    <w:basedOn w:val="699"/>
    <w:next w:val="699"/>
    <w:link w:val="774"/>
    <w:uiPriority w:val="9"/>
    <w:qFormat/>
    <w:pPr>
      <w:keepLines/>
      <w:keepNext/>
      <w:spacing w:before="320" w:after="200"/>
      <w:outlineLvl w:val="4"/>
    </w:pPr>
    <w:rPr>
      <w:rFonts w:ascii="Arial" w:hAnsi="Arial" w:eastAsia="Arial" w:cs="Arial"/>
      <w:b/>
      <w:bCs/>
      <w:sz w:val="24"/>
    </w:rPr>
  </w:style>
  <w:style w:type="character" w:styleId="774" w:customStyle="1">
    <w:name w:val="Heading 5 Char_9aafd5d4-71d4-4f6e-a6b9-c22901d9c8f9"/>
    <w:link w:val="773"/>
    <w:uiPriority w:val="9"/>
    <w:qFormat/>
    <w:rPr>
      <w:rFonts w:ascii="Arial" w:hAnsi="Arial" w:eastAsia="Arial" w:cs="Arial"/>
      <w:b/>
      <w:bCs/>
      <w:sz w:val="24"/>
      <w:szCs w:val="24"/>
    </w:rPr>
  </w:style>
  <w:style w:type="paragraph" w:styleId="775" w:customStyle="1">
    <w:name w:val="标题 61"/>
    <w:basedOn w:val="699"/>
    <w:next w:val="699"/>
    <w:link w:val="776"/>
    <w:uiPriority w:val="9"/>
    <w:qFormat/>
    <w:pPr>
      <w:keepLines/>
      <w:keepNext/>
      <w:spacing w:before="320" w:after="200"/>
      <w:outlineLvl w:val="5"/>
    </w:pPr>
    <w:rPr>
      <w:rFonts w:ascii="Arial" w:hAnsi="Arial" w:eastAsia="Arial" w:cs="Arial"/>
      <w:b/>
      <w:bCs/>
      <w:sz w:val="22"/>
      <w:szCs w:val="22"/>
    </w:rPr>
  </w:style>
  <w:style w:type="character" w:styleId="776" w:customStyle="1">
    <w:name w:val="Heading 6 Char_719c5e40-9dae-493d-8e91-5ff18854ac91"/>
    <w:link w:val="775"/>
    <w:uiPriority w:val="9"/>
    <w:qFormat/>
    <w:rPr>
      <w:rFonts w:ascii="Arial" w:hAnsi="Arial" w:eastAsia="Arial" w:cs="Arial"/>
      <w:b/>
      <w:bCs/>
      <w:sz w:val="22"/>
      <w:szCs w:val="22"/>
    </w:rPr>
  </w:style>
  <w:style w:type="paragraph" w:styleId="777" w:customStyle="1">
    <w:name w:val="标题 71"/>
    <w:basedOn w:val="699"/>
    <w:next w:val="699"/>
    <w:link w:val="778"/>
    <w:uiPriority w:val="9"/>
    <w:qFormat/>
    <w:pPr>
      <w:keepLines/>
      <w:keepNext/>
      <w:spacing w:before="320" w:after="200"/>
      <w:outlineLvl w:val="6"/>
    </w:pPr>
    <w:rPr>
      <w:rFonts w:ascii="Arial" w:hAnsi="Arial" w:eastAsia="Arial" w:cs="Arial"/>
      <w:b/>
      <w:bCs/>
      <w:i/>
      <w:iCs/>
      <w:sz w:val="22"/>
      <w:szCs w:val="22"/>
    </w:rPr>
  </w:style>
  <w:style w:type="character" w:styleId="778" w:customStyle="1">
    <w:name w:val="Heading 7 Char_66b796fd-a4f5-475f-8040-bb1d2d769bfd"/>
    <w:link w:val="777"/>
    <w:uiPriority w:val="9"/>
    <w:qFormat/>
    <w:rPr>
      <w:rFonts w:ascii="Arial" w:hAnsi="Arial" w:eastAsia="Arial" w:cs="Arial"/>
      <w:b/>
      <w:bCs/>
      <w:i/>
      <w:iCs/>
      <w:sz w:val="22"/>
      <w:szCs w:val="22"/>
    </w:rPr>
  </w:style>
  <w:style w:type="paragraph" w:styleId="779" w:customStyle="1">
    <w:name w:val="标题 81"/>
    <w:basedOn w:val="699"/>
    <w:next w:val="699"/>
    <w:link w:val="780"/>
    <w:uiPriority w:val="9"/>
    <w:qFormat/>
    <w:pPr>
      <w:keepLines/>
      <w:keepNext/>
      <w:spacing w:before="320" w:after="200"/>
      <w:outlineLvl w:val="7"/>
    </w:pPr>
    <w:rPr>
      <w:rFonts w:ascii="Arial" w:hAnsi="Arial" w:eastAsia="Arial" w:cs="Arial"/>
      <w:i/>
      <w:iCs/>
      <w:sz w:val="22"/>
      <w:szCs w:val="22"/>
    </w:rPr>
  </w:style>
  <w:style w:type="character" w:styleId="780" w:customStyle="1">
    <w:name w:val="Heading 8 Char_ce2a526f-86dd-4907-91ec-e57e6dedfce9"/>
    <w:link w:val="779"/>
    <w:uiPriority w:val="9"/>
    <w:qFormat/>
    <w:rPr>
      <w:rFonts w:ascii="Arial" w:hAnsi="Arial" w:eastAsia="Arial" w:cs="Arial"/>
      <w:i/>
      <w:iCs/>
      <w:sz w:val="22"/>
      <w:szCs w:val="22"/>
    </w:rPr>
  </w:style>
  <w:style w:type="paragraph" w:styleId="781" w:customStyle="1">
    <w:name w:val="标题 91"/>
    <w:basedOn w:val="699"/>
    <w:next w:val="699"/>
    <w:link w:val="782"/>
    <w:uiPriority w:val="9"/>
    <w:qFormat/>
    <w:pPr>
      <w:keepLines/>
      <w:keepNext/>
      <w:spacing w:before="320" w:after="200"/>
      <w:outlineLvl w:val="8"/>
    </w:pPr>
    <w:rPr>
      <w:rFonts w:ascii="Arial" w:hAnsi="Arial" w:eastAsia="Arial" w:cs="Arial"/>
      <w:i/>
      <w:iCs/>
      <w:szCs w:val="21"/>
    </w:rPr>
  </w:style>
  <w:style w:type="character" w:styleId="782" w:customStyle="1">
    <w:name w:val="Heading 9 Char_b0b6e2d2-ccc3-4c5f-bebe-19df2adff013"/>
    <w:link w:val="781"/>
    <w:uiPriority w:val="9"/>
    <w:qFormat/>
    <w:rPr>
      <w:rFonts w:ascii="Arial" w:hAnsi="Arial" w:eastAsia="Arial" w:cs="Arial"/>
      <w:i/>
      <w:iCs/>
      <w:sz w:val="21"/>
      <w:szCs w:val="21"/>
    </w:rPr>
  </w:style>
  <w:style w:type="paragraph" w:styleId="783" w:customStyle="1">
    <w:name w:val="题注1"/>
    <w:basedOn w:val="699"/>
    <w:next w:val="699"/>
    <w:uiPriority w:val="35"/>
    <w:qFormat/>
    <w:pPr>
      <w:spacing w:line="276" w:lineRule="auto"/>
    </w:pPr>
    <w:rPr>
      <w:b/>
      <w:bCs/>
      <w:color w:val="4f81bd"/>
      <w:sz w:val="18"/>
      <w:szCs w:val="18"/>
    </w:rPr>
  </w:style>
  <w:style w:type="paragraph" w:styleId="784" w:customStyle="1">
    <w:name w:val="页脚1"/>
    <w:basedOn w:val="699"/>
    <w:link w:val="785"/>
    <w:uiPriority w:val="99"/>
    <w:qFormat/>
    <w:pPr>
      <w:tabs>
        <w:tab w:val="center" w:pos="7143" w:leader="none"/>
        <w:tab w:val="right" w:pos="14287" w:leader="none"/>
      </w:tabs>
    </w:pPr>
  </w:style>
  <w:style w:type="character" w:styleId="785" w:customStyle="1">
    <w:name w:val="Caption Char"/>
    <w:link w:val="784"/>
    <w:uiPriority w:val="99"/>
    <w:qFormat/>
  </w:style>
  <w:style w:type="paragraph" w:styleId="786" w:customStyle="1">
    <w:name w:val="页眉1"/>
    <w:basedOn w:val="699"/>
    <w:link w:val="787"/>
    <w:uiPriority w:val="99"/>
    <w:qFormat/>
    <w:pPr>
      <w:tabs>
        <w:tab w:val="center" w:pos="7143" w:leader="none"/>
        <w:tab w:val="right" w:pos="14287" w:leader="none"/>
      </w:tabs>
    </w:pPr>
  </w:style>
  <w:style w:type="character" w:styleId="787" w:customStyle="1">
    <w:name w:val="Header Char_fa3e4b7b-3a3c-4e98-ab19-e3286e5af940"/>
    <w:link w:val="786"/>
    <w:uiPriority w:val="99"/>
    <w:qFormat/>
  </w:style>
  <w:style w:type="paragraph" w:styleId="788" w:customStyle="1">
    <w:name w:val="正文1"/>
    <w:basedOn w:val="699"/>
    <w:next w:val="699"/>
    <w:uiPriority w:val="0"/>
    <w:qFormat/>
    <w:pPr>
      <w:ind w:firstLine="480"/>
      <w:spacing w:line="440" w:lineRule="exact"/>
    </w:pPr>
    <w:rPr>
      <w:rFonts w:ascii="Times New Roman" w:hAnsi="Times New Roman"/>
      <w:bCs/>
      <w:color w:val="000000"/>
      <w:sz w:val="24"/>
      <w:szCs w:val="32"/>
    </w:rPr>
  </w:style>
  <w:style w:type="paragraph" w:styleId="789" w:customStyle="1">
    <w:name w:val="段"/>
    <w:next w:val="699"/>
    <w:uiPriority w:val="0"/>
    <w:qFormat/>
    <w:pPr>
      <w:ind w:firstLine="200"/>
      <w:jc w:val="both"/>
    </w:pPr>
    <w:rPr>
      <w:rFonts w:ascii="宋体" w:hAnsi="Calibri" w:eastAsia="宋体" w:cs="Times New Roman"/>
      <w:sz w:val="21"/>
      <w:lang w:val="en-US" w:eastAsia="zh-CN" w:bidi="ar-SA"/>
    </w:rPr>
  </w:style>
  <w:style w:type="paragraph" w:styleId="790" w:customStyle="1">
    <w:name w:val="文本块1"/>
    <w:basedOn w:val="699"/>
    <w:uiPriority w:val="0"/>
    <w:qFormat/>
    <w:pPr>
      <w:ind w:left="630" w:right="-609" w:firstLine="420"/>
      <w:spacing w:line="360" w:lineRule="auto"/>
    </w:pPr>
    <w:rPr>
      <w:rFonts w:hint="eastAsia" w:ascii="仿宋_GB2312" w:hAnsi="Times New Roman" w:eastAsia="仿宋_GB2312"/>
      <w:szCs w:val="20"/>
    </w:rPr>
  </w:style>
  <w:style w:type="paragraph" w:styleId="791">
    <w:name w:val="List Paragraph"/>
    <w:basedOn w:val="699"/>
    <w:uiPriority w:val="99"/>
    <w:qFormat/>
    <w:pPr>
      <w:contextualSpacing/>
      <w:ind w:left="720"/>
    </w:pPr>
  </w:style>
  <w:style w:type="paragraph" w:styleId="792">
    <w:name w:val="No Spacing"/>
    <w:uiPriority w:val="1"/>
    <w:qFormat/>
    <w:rPr>
      <w:rFonts w:ascii="Calibri" w:hAnsi="Calibri" w:eastAsia="宋体" w:cs="Times New Roman"/>
      <w:lang w:val="en-US" w:eastAsia="zh-CN" w:bidi="ar-SA"/>
    </w:rPr>
  </w:style>
  <w:style w:type="paragraph" w:styleId="793">
    <w:name w:val="Quote"/>
    <w:basedOn w:val="699"/>
    <w:next w:val="699"/>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699"/>
    <w:next w:val="699"/>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Footer Char_40c3ab28-87e0-4cbc-a764-db67259d5e6a"/>
    <w:uiPriority w:val="99"/>
    <w:qFormat/>
  </w:style>
  <w:style w:type="table" w:styleId="79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799"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2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9"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46"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Layout w:type="fixed"/>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sz="4" w:space="0"/>
        <w:bottom w:val="single" w:color="6E6E6E" w:sz="4" w:space="0"/>
        <w:insideH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61"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2" w:customStyle="1">
    <w:name w:val="List Table 2 - Accent 2"/>
    <w:uiPriority w:val="99"/>
    <w:qFormat/>
    <w:tblPr>
      <w:tblBorders>
        <w:top w:val="single" w:color="DB9C9A" w:sz="4" w:space="0"/>
        <w:bottom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3"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64"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65"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66"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67"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Layout w:type="fixed"/>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Layout w:type="fixed"/>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8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Layout w:type="fixed"/>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8" w:customStyle="1">
    <w:name w:val="清单表 6 彩色1"/>
    <w:uiPriority w:val="99"/>
    <w:qFormat/>
    <w:tblPr>
      <w:tblBorders>
        <w:top w:val="single" w:color="7E7E7E" w:sz="4" w:space="0"/>
        <w:bottom w:val="single" w:color="7E7E7E" w:sz="4" w:space="0"/>
      </w:tblBorders>
      <w:tblLayout w:type="fixed"/>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9"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90" w:customStyle="1">
    <w:name w:val="List Table 6 Colorful - Accent 2"/>
    <w:uiPriority w:val="99"/>
    <w:qFormat/>
    <w:tblPr>
      <w:tblBorders>
        <w:top w:val="single" w:color="D99795" w:sz="4" w:space="0"/>
        <w:bottom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1" w:customStyle="1">
    <w:name w:val="List Table 6 Colorful - Accent 3"/>
    <w:uiPriority w:val="99"/>
    <w:qFormat/>
    <w:tblPr>
      <w:tblBorders>
        <w:top w:val="single" w:color="C3D69C" w:sz="4" w:space="0"/>
        <w:bottom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2"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3"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94"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95" w:customStyle="1">
    <w:name w:val="清单表 7 彩色1"/>
    <w:uiPriority w:val="99"/>
    <w:qFormat/>
    <w:tblPr>
      <w:tblBorders>
        <w:right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3"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4"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5"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6"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7"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8"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1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23" w:customStyle="1">
    <w:name w:val="TOC Heading_ddebdafa-029f-45f3-aaab-cc59c784818d"/>
    <w:uiPriority w:val="39"/>
    <w:qFormat/>
    <w:rPr>
      <w:rFonts w:ascii="Calibri" w:hAnsi="Calibri" w:eastAsia="宋体" w:cs="Times New Roman"/>
      <w:lang w:val="en-US" w:eastAsia="zh-CN" w:bidi="ar-SA"/>
    </w:rPr>
  </w:style>
  <w:style w:type="paragraph" w:styleId="924" w:customStyle="1">
    <w:name w:val="标题 211"/>
    <w:basedOn w:val="699"/>
    <w:next w:val="699"/>
    <w:uiPriority w:val="0"/>
    <w:qFormat/>
    <w:pPr>
      <w:keepLines/>
      <w:keepNext/>
      <w:spacing w:before="260" w:after="260" w:line="416" w:lineRule="auto"/>
      <w:outlineLvl w:val="1"/>
    </w:pPr>
    <w:rPr>
      <w:rFonts w:ascii="Calibri Light" w:hAnsi="Calibri Light"/>
      <w:b/>
      <w:bCs/>
      <w:sz w:val="32"/>
      <w:szCs w:val="32"/>
    </w:rPr>
  </w:style>
  <w:style w:type="character" w:styleId="925" w:customStyle="1">
    <w:name w:val="默认段落字体1"/>
    <w:uiPriority w:val="0"/>
    <w:qFormat/>
  </w:style>
  <w:style w:type="table" w:styleId="926" w:customStyle="1">
    <w:name w:val="普通表格1"/>
    <w:uiPriority w:val="0"/>
    <w:qFormat/>
    <w:tblPr>
      <w:tblLayout w:type="fixed"/>
      <w:tblCellMar>
        <w:left w:w="0" w:type="dxa"/>
        <w:top w:w="0" w:type="dxa"/>
        <w:right w:w="0" w:type="dxa"/>
        <w:bottom w:w="0" w:type="dxa"/>
      </w:tblCellMar>
    </w:tblPr>
  </w:style>
  <w:style w:type="character" w:styleId="927" w:customStyle="1">
    <w:name w:val="要点1"/>
    <w:uiPriority w:val="0"/>
    <w:qFormat/>
    <w:rPr>
      <w:rFonts w:ascii="Times New Roman" w:hAnsi="Times New Roman" w:eastAsia="宋体" w:cs="Times New Roman"/>
      <w:b/>
    </w:rPr>
  </w:style>
  <w:style w:type="character" w:styleId="928" w:customStyle="1">
    <w:name w:val="超链接1"/>
    <w:uiPriority w:val="0"/>
    <w:qFormat/>
    <w:rPr>
      <w:color w:val="333333"/>
      <w:u w:val="none"/>
    </w:rPr>
  </w:style>
  <w:style w:type="character" w:styleId="929" w:customStyle="1">
    <w:name w:val="强调1"/>
    <w:uiPriority w:val="0"/>
    <w:qFormat/>
  </w:style>
  <w:style w:type="character" w:styleId="930" w:customStyle="1">
    <w:name w:val="font31"/>
    <w:uiPriority w:val="0"/>
    <w:qFormat/>
    <w:rPr>
      <w:rFonts w:ascii="Times New Roman" w:hAnsi="Times New Roman" w:cs="Times New Roman"/>
      <w:color w:val="000000"/>
      <w:sz w:val="22"/>
      <w:szCs w:val="22"/>
      <w:u w:val="none"/>
    </w:rPr>
  </w:style>
  <w:style w:type="character" w:styleId="931" w:customStyle="1">
    <w:name w:val="font91"/>
    <w:uiPriority w:val="0"/>
    <w:qFormat/>
    <w:rPr>
      <w:rFonts w:ascii="Times New Roman" w:hAnsi="Times New Roman" w:cs="Times New Roman"/>
      <w:color w:val="000000"/>
      <w:sz w:val="22"/>
      <w:szCs w:val="22"/>
      <w:u w:val="none"/>
    </w:rPr>
  </w:style>
  <w:style w:type="character" w:styleId="932" w:customStyle="1">
    <w:name w:val="已访问的超链接1"/>
    <w:uiPriority w:val="0"/>
    <w:qFormat/>
    <w:rPr>
      <w:color w:val="333333"/>
      <w:u w:val="none"/>
    </w:rPr>
  </w:style>
  <w:style w:type="character" w:styleId="933" w:customStyle="1">
    <w:name w:val="页码1"/>
    <w:uiPriority w:val="0"/>
    <w:qFormat/>
  </w:style>
  <w:style w:type="character" w:styleId="934" w:customStyle="1">
    <w:name w:val="font21"/>
    <w:basedOn w:val="702"/>
    <w:uiPriority w:val="0"/>
    <w:qFormat/>
    <w:rPr>
      <w:rFonts w:ascii="Times New Roman" w:hAnsi="Times New Roman" w:cs="Times New Roman"/>
      <w:color w:val="000000"/>
      <w:sz w:val="22"/>
      <w:szCs w:val="22"/>
      <w:u w:val="none"/>
    </w:rPr>
  </w:style>
  <w:style w:type="character" w:styleId="935" w:customStyle="1">
    <w:name w:val="font61"/>
    <w:basedOn w:val="702"/>
    <w:uiPriority w:val="0"/>
    <w:qFormat/>
    <w:rPr>
      <w:rFonts w:hint="eastAsia" w:ascii="宋体" w:hAnsi="宋体" w:eastAsia="宋体" w:cs="宋体"/>
      <w:color w:val="000000"/>
      <w:sz w:val="22"/>
      <w:szCs w:val="22"/>
      <w:u w:val="none"/>
    </w:rPr>
  </w:style>
  <w:style w:type="character" w:styleId="936" w:customStyle="1">
    <w:name w:val="font11"/>
    <w:uiPriority w:val="0"/>
    <w:qFormat/>
    <w:rPr>
      <w:rFonts w:hint="eastAsia" w:ascii="宋体" w:hAnsi="宋体" w:eastAsia="宋体" w:cs="宋体"/>
      <w:color w:val="000000"/>
      <w:sz w:val="20"/>
      <w:szCs w:val="20"/>
      <w:u w:val="none"/>
    </w:rPr>
  </w:style>
  <w:style w:type="character" w:styleId="937" w:customStyle="1">
    <w:name w:val="font41"/>
    <w:uiPriority w:val="0"/>
    <w:qFormat/>
    <w:rPr>
      <w:rFonts w:ascii="Times New Roman" w:hAnsi="Times New Roman" w:cs="Times New Roman"/>
      <w:color w:val="000000"/>
      <w:sz w:val="22"/>
      <w:szCs w:val="22"/>
      <w:u w:val="none"/>
    </w:rPr>
  </w:style>
  <w:style w:type="character" w:styleId="938" w:customStyle="1">
    <w:name w:val="font51"/>
    <w:uiPriority w:val="0"/>
    <w:qFormat/>
    <w:rPr>
      <w:rFonts w:ascii="Times New Roman" w:hAnsi="Times New Roman" w:cs="Times New Roman"/>
      <w:color w:val="000000"/>
      <w:sz w:val="22"/>
      <w:szCs w:val="22"/>
      <w:u w:val="none"/>
    </w:rPr>
  </w:style>
  <w:style w:type="character" w:styleId="939" w:customStyle="1">
    <w:name w:val="批注框文本 Char"/>
    <w:link w:val="940"/>
    <w:uiPriority w:val="0"/>
    <w:qFormat/>
    <w:rPr>
      <w:sz w:val="18"/>
      <w:szCs w:val="18"/>
    </w:rPr>
  </w:style>
  <w:style w:type="paragraph" w:styleId="940" w:customStyle="1">
    <w:name w:val="批注框文本1"/>
    <w:basedOn w:val="699"/>
    <w:link w:val="939"/>
    <w:uiPriority w:val="0"/>
    <w:qFormat/>
    <w:rPr>
      <w:sz w:val="18"/>
      <w:szCs w:val="18"/>
    </w:rPr>
  </w:style>
  <w:style w:type="character" w:styleId="941" w:customStyle="1">
    <w:name w:val="NormalCharacter1"/>
    <w:uiPriority w:val="0"/>
    <w:qFormat/>
  </w:style>
  <w:style w:type="character" w:styleId="942" w:customStyle="1">
    <w:name w:val="font81"/>
    <w:basedOn w:val="702"/>
    <w:uiPriority w:val="0"/>
    <w:qFormat/>
    <w:rPr>
      <w:rFonts w:hint="eastAsia" w:ascii="宋体" w:hAnsi="宋体" w:eastAsia="宋体" w:cs="宋体"/>
      <w:color w:val="000000"/>
      <w:sz w:val="22"/>
      <w:szCs w:val="22"/>
      <w:u w:val="none"/>
    </w:rPr>
  </w:style>
  <w:style w:type="character" w:styleId="943" w:customStyle="1">
    <w:name w:val="font71"/>
    <w:uiPriority w:val="0"/>
    <w:qFormat/>
    <w:rPr>
      <w:rFonts w:hint="eastAsia" w:ascii="宋体" w:hAnsi="宋体" w:eastAsia="宋体" w:cs="宋体"/>
      <w:color w:val="000000"/>
      <w:sz w:val="22"/>
      <w:szCs w:val="22"/>
      <w:u w:val="none"/>
    </w:rPr>
  </w:style>
  <w:style w:type="character" w:styleId="944" w:customStyle="1">
    <w:name w:val="font01"/>
    <w:uiPriority w:val="0"/>
    <w:qFormat/>
    <w:rPr>
      <w:rFonts w:ascii="Times New Roman" w:hAnsi="Times New Roman" w:cs="Times New Roman"/>
      <w:color w:val="000000"/>
      <w:sz w:val="22"/>
      <w:szCs w:val="22"/>
      <w:u w:val="none"/>
    </w:rPr>
  </w:style>
  <w:style w:type="paragraph" w:styleId="945" w:customStyle="1">
    <w:name w:val="正文文本缩进 31"/>
    <w:basedOn w:val="699"/>
    <w:uiPriority w:val="0"/>
    <w:qFormat/>
    <w:pPr>
      <w:ind w:firstLine="480"/>
      <w:jc w:val="left"/>
      <w:spacing w:line="440" w:lineRule="atLeast"/>
    </w:pPr>
    <w:rPr>
      <w:rFonts w:ascii="Times New Roman" w:hAnsi="Times New Roman"/>
      <w:sz w:val="24"/>
    </w:rPr>
  </w:style>
  <w:style w:type="paragraph" w:styleId="946" w:customStyle="1">
    <w:name w:val="正文首行缩进 21"/>
    <w:basedOn w:val="947"/>
    <w:uiPriority w:val="0"/>
    <w:qFormat/>
    <w:pPr>
      <w:ind w:firstLine="420"/>
    </w:pPr>
  </w:style>
  <w:style w:type="paragraph" w:styleId="947" w:customStyle="1">
    <w:name w:val="正文文本缩进1"/>
    <w:basedOn w:val="699"/>
    <w:next w:val="713"/>
    <w:uiPriority w:val="0"/>
    <w:qFormat/>
    <w:pPr>
      <w:ind w:left="420"/>
      <w:spacing w:after="120"/>
    </w:pPr>
  </w:style>
  <w:style w:type="paragraph" w:styleId="948" w:customStyle="1">
    <w:name w:val="纯文本111"/>
    <w:basedOn w:val="699"/>
    <w:uiPriority w:val="0"/>
    <w:qFormat/>
    <w:pPr>
      <w:jc w:val="left"/>
      <w:widowControl/>
    </w:pPr>
    <w:rPr>
      <w:rFonts w:ascii="宋体" w:hAnsi="Courier New" w:eastAsia="楷体_GB2312"/>
      <w:sz w:val="26"/>
    </w:rPr>
  </w:style>
  <w:style w:type="paragraph" w:styleId="949" w:customStyle="1">
    <w:name w:val="正文文本1"/>
    <w:basedOn w:val="699"/>
    <w:next w:val="950"/>
    <w:uiPriority w:val="0"/>
    <w:qFormat/>
    <w:pPr>
      <w:spacing w:line="400" w:lineRule="exact"/>
    </w:pPr>
    <w:rPr>
      <w:rFonts w:ascii="楷体_GB2312" w:hAnsi="Times New Roman" w:eastAsia="楷体_GB2312"/>
      <w:sz w:val="28"/>
      <w:szCs w:val="20"/>
    </w:rPr>
  </w:style>
  <w:style w:type="paragraph" w:styleId="950" w:customStyle="1">
    <w:name w:val="正文缩进1"/>
    <w:basedOn w:val="699"/>
    <w:next w:val="699"/>
    <w:uiPriority w:val="0"/>
    <w:qFormat/>
    <w:pPr>
      <w:ind w:firstLine="420"/>
      <w:jc w:val="left"/>
    </w:pPr>
    <w:rPr>
      <w:rFonts w:ascii="Times New Roman" w:hAnsi="Times New Roman" w:eastAsia="楷体_GB2312"/>
      <w:sz w:val="24"/>
      <w:szCs w:val="20"/>
    </w:rPr>
  </w:style>
  <w:style w:type="paragraph" w:styleId="951" w:customStyle="1">
    <w:name w:val="目录 11"/>
    <w:basedOn w:val="699"/>
    <w:next w:val="699"/>
    <w:uiPriority w:val="0"/>
    <w:qFormat/>
    <w:pPr>
      <w:jc w:val="left"/>
    </w:pPr>
    <w:rPr>
      <w:rFonts w:ascii="Times New Roman" w:hAnsi="Times New Roman" w:eastAsia="楷体_GB2312"/>
      <w:sz w:val="24"/>
      <w:szCs w:val="20"/>
    </w:rPr>
  </w:style>
  <w:style w:type="paragraph" w:styleId="952" w:customStyle="1">
    <w:name w:val="页眉11"/>
    <w:basedOn w:val="69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53" w:customStyle="1">
    <w:name w:val="文档结构图1"/>
    <w:basedOn w:val="699"/>
    <w:uiPriority w:val="99"/>
    <w:qFormat/>
    <w:pPr>
      <w:shd w:val="clear" w:color="auto" w:fill="000080"/>
    </w:pPr>
  </w:style>
  <w:style w:type="paragraph" w:styleId="954" w:customStyle="1">
    <w:name w:val="列表1"/>
    <w:basedOn w:val="699"/>
    <w:uiPriority w:val="0"/>
    <w:qFormat/>
    <w:pPr>
      <w:jc w:val="center"/>
      <w:spacing w:line="20" w:lineRule="atLeast"/>
    </w:pPr>
    <w:rPr>
      <w:rFonts w:ascii="Arial" w:hAnsi="Arial" w:eastAsia="幼圆_GB2312"/>
      <w:sz w:val="18"/>
    </w:rPr>
  </w:style>
  <w:style w:type="paragraph" w:styleId="955" w:customStyle="1">
    <w:name w:val="正文文本缩进 21"/>
    <w:basedOn w:val="699"/>
    <w:uiPriority w:val="0"/>
    <w:qFormat/>
    <w:pPr>
      <w:ind w:left="1" w:firstLine="480"/>
      <w:spacing w:line="400" w:lineRule="exact"/>
      <w:tabs>
        <w:tab w:val="left" w:pos="360" w:leader="none"/>
      </w:tabs>
    </w:pPr>
    <w:rPr>
      <w:rFonts w:ascii="Times New Roman" w:hAnsi="Times New Roman"/>
      <w:sz w:val="24"/>
    </w:rPr>
  </w:style>
  <w:style w:type="paragraph" w:styleId="956" w:customStyle="1">
    <w:name w:val="正文首行缩进1"/>
    <w:uiPriority w:val="0"/>
    <w:qFormat/>
    <w:pPr>
      <w:ind w:firstLine="420"/>
      <w:jc w:val="center"/>
      <w:spacing w:after="120" w:line="360" w:lineRule="auto"/>
      <w:widowControl w:val="off"/>
      <w:tabs>
        <w:tab w:val="left" w:pos="5250" w:leader="none"/>
      </w:tabs>
    </w:pPr>
    <w:rPr>
      <w:rFonts w:ascii="宋体" w:hAnsi="宋体" w:eastAsia="宋体" w:cs="Times New Roman"/>
      <w:sz w:val="24"/>
      <w:szCs w:val="24"/>
      <w:lang w:val="en-US" w:eastAsia="zh-CN" w:bidi="ar-SA"/>
    </w:rPr>
  </w:style>
  <w:style w:type="paragraph" w:styleId="957" w:customStyle="1">
    <w:name w:val="普通(网站)1"/>
    <w:basedOn w:val="699"/>
    <w:uiPriority w:val="99"/>
    <w:qFormat/>
    <w:pPr>
      <w:jc w:val="left"/>
      <w:spacing w:beforeAutospacing="1" w:afterAutospacing="1"/>
    </w:pPr>
    <w:rPr>
      <w:rFonts w:ascii="Times New Roman" w:hAnsi="Times New Roman"/>
      <w:sz w:val="24"/>
    </w:rPr>
  </w:style>
  <w:style w:type="paragraph" w:styleId="958" w:customStyle="1">
    <w:name w:val="页脚11"/>
    <w:basedOn w:val="699"/>
    <w:uiPriority w:val="0"/>
    <w:qFormat/>
    <w:pPr>
      <w:jc w:val="left"/>
      <w:tabs>
        <w:tab w:val="center" w:pos="4153" w:leader="none"/>
        <w:tab w:val="right" w:pos="8306" w:leader="none"/>
      </w:tabs>
    </w:pPr>
    <w:rPr>
      <w:sz w:val="18"/>
    </w:rPr>
  </w:style>
  <w:style w:type="paragraph" w:styleId="959" w:customStyle="1">
    <w:name w:val="p0"/>
    <w:basedOn w:val="699"/>
    <w:uiPriority w:val="0"/>
    <w:qFormat/>
    <w:rPr>
      <w:rFonts w:ascii="Times New Roman" w:hAnsi="Times New Roman"/>
    </w:rPr>
  </w:style>
  <w:style w:type="paragraph" w:styleId="960" w:customStyle="1">
    <w:name w:val="PlainText1"/>
    <w:basedOn w:val="699"/>
    <w:uiPriority w:val="0"/>
    <w:qFormat/>
    <w:rPr>
      <w:rFonts w:ascii="宋体" w:hAnsi="Courier New" w:eastAsia="楷体_GB2312"/>
      <w:sz w:val="28"/>
    </w:rPr>
  </w:style>
  <w:style w:type="paragraph" w:styleId="961" w:customStyle="1">
    <w:name w:val="纯文本2"/>
    <w:basedOn w:val="699"/>
    <w:uiPriority w:val="0"/>
    <w:qFormat/>
    <w:rPr>
      <w:rFonts w:ascii="宋体" w:hAnsi="Courier New"/>
    </w:rPr>
  </w:style>
  <w:style w:type="paragraph" w:styleId="962" w:customStyle="1">
    <w:name w:val="Plain Text1"/>
    <w:basedOn w:val="699"/>
    <w:uiPriority w:val="0"/>
    <w:qFormat/>
    <w:rPr>
      <w:rFonts w:ascii="宋体" w:hAnsi="Courier New"/>
      <w:sz w:val="26"/>
      <w:szCs w:val="20"/>
    </w:rPr>
  </w:style>
  <w:style w:type="paragraph" w:styleId="963" w:customStyle="1">
    <w:name w:val="纯文本4"/>
    <w:basedOn w:val="699"/>
    <w:uiPriority w:val="0"/>
    <w:qFormat/>
    <w:rPr>
      <w:rFonts w:ascii="宋体" w:hAnsi="Courier New" w:eastAsia="楷体_GB2312"/>
      <w:sz w:val="26"/>
      <w:szCs w:val="20"/>
    </w:rPr>
  </w:style>
  <w:style w:type="paragraph" w:styleId="964" w:customStyle="1">
    <w:name w:val="纯文本1"/>
    <w:basedOn w:val="699"/>
    <w:link w:val="965"/>
    <w:uiPriority w:val="0"/>
    <w:qFormat/>
    <w:rPr>
      <w:rFonts w:ascii="宋体" w:hAnsi="Courier New" w:eastAsia="楷体_GB2312"/>
      <w:sz w:val="28"/>
      <w:szCs w:val="20"/>
    </w:rPr>
  </w:style>
  <w:style w:type="character" w:styleId="965" w:customStyle="1">
    <w:name w:val="Plain Text Char"/>
    <w:link w:val="964"/>
    <w:uiPriority w:val="0"/>
    <w:qFormat/>
    <w:rPr>
      <w:rFonts w:ascii="宋体" w:hAnsi="Courier New" w:eastAsia="楷体_GB2312"/>
      <w:sz w:val="28"/>
    </w:rPr>
  </w:style>
  <w:style w:type="paragraph" w:styleId="966" w:customStyle="1">
    <w:name w:val="首行缩进"/>
    <w:basedOn w:val="699"/>
    <w:uiPriority w:val="0"/>
    <w:qFormat/>
    <w:pPr>
      <w:ind w:firstLine="480"/>
    </w:pPr>
    <w:rPr>
      <w:rFonts w:ascii="Times New Roman" w:hAnsi="Times New Roman"/>
      <w:lang w:val="zh-CN"/>
    </w:rPr>
  </w:style>
  <w:style w:type="paragraph" w:styleId="967" w:customStyle="1">
    <w:name w:val="纯文本11"/>
    <w:basedOn w:val="699"/>
    <w:uiPriority w:val="0"/>
    <w:qFormat/>
    <w:pPr>
      <w:jc w:val="left"/>
      <w:widowControl/>
    </w:pPr>
    <w:rPr>
      <w:rFonts w:ascii="宋体" w:hAnsi="Courier New" w:eastAsia="楷体_GB2312"/>
      <w:sz w:val="26"/>
      <w:szCs w:val="20"/>
    </w:rPr>
  </w:style>
  <w:style w:type="paragraph" w:styleId="968" w:customStyle="1">
    <w:name w:val="列出段落1"/>
    <w:basedOn w:val="699"/>
    <w:uiPriority w:val="34"/>
    <w:qFormat/>
    <w:pPr>
      <w:ind w:firstLine="420"/>
    </w:pPr>
  </w:style>
  <w:style w:type="table" w:styleId="969" w:customStyle="1">
    <w:name w:val="网格型1"/>
    <w:basedOn w:val="926"/>
    <w:uiPriority w:val="59"/>
    <w:qFormat/>
    <w:pPr>
      <w:jc w:val="both"/>
      <w:widowControl w:val="off"/>
    </w:pPr>
    <w:tblPr/>
  </w:style>
  <w:style w:type="paragraph" w:styleId="970"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71" w:customStyle="1">
    <w:name w:val="&quot;页脚&quot;"/>
    <w:basedOn w:val="699"/>
    <w:uiPriority w:val="0"/>
    <w:qFormat/>
    <w:pPr>
      <w:ind w:firstLine="3580"/>
    </w:pPr>
    <w:rPr>
      <w:rFonts w:cs="Calibri"/>
      <w:sz w:val="20"/>
      <w:szCs w:val="20"/>
    </w:rPr>
  </w:style>
  <w:style w:type="paragraph" w:styleId="972" w:customStyle="1">
    <w:name w:val="&quot;目录 1&quot;"/>
    <w:basedOn w:val="699"/>
    <w:uiPriority w:val="0"/>
    <w:qFormat/>
    <w:pPr>
      <w:jc w:val="left"/>
    </w:pPr>
    <w:rPr>
      <w:rFonts w:ascii="Times New Roman" w:hAnsi="Times New Roman" w:eastAsia="楷体_GB2312"/>
      <w:sz w:val="24"/>
      <w:szCs w:val="20"/>
    </w:rPr>
  </w:style>
  <w:style w:type="paragraph" w:styleId="973" w:customStyle="1">
    <w:name w:val="&quot;纯文本3&quot;"/>
    <w:basedOn w:val="699"/>
    <w:uiPriority w:val="0"/>
    <w:qFormat/>
    <w:rPr>
      <w:rFonts w:ascii="宋体" w:hAnsi="Courier New" w:eastAsia="楷体_GB2312" w:cs="宋体"/>
      <w:sz w:val="26"/>
      <w:szCs w:val="22"/>
    </w:rPr>
  </w:style>
  <w:style w:type="paragraph" w:styleId="974" w:customStyle="1">
    <w:name w:val="&quot;正文缩进&quot;"/>
    <w:basedOn w:val="699"/>
    <w:uiPriority w:val="0"/>
    <w:qFormat/>
    <w:pPr>
      <w:ind w:firstLine="420"/>
      <w:jc w:val="left"/>
    </w:pPr>
    <w:rPr>
      <w:rFonts w:ascii="Times New Roman" w:hAnsi="Times New Roman" w:eastAsia="楷体_GB2312"/>
      <w:sz w:val="24"/>
      <w:szCs w:val="20"/>
    </w:rPr>
  </w:style>
  <w:style w:type="paragraph" w:styleId="975" w:customStyle="1">
    <w:name w:val="&quot;正文文本&quot;"/>
    <w:basedOn w:val="699"/>
    <w:uiPriority w:val="0"/>
    <w:pPr>
      <w:spacing w:after="120"/>
    </w:pPr>
    <w:rPr>
      <w:rFonts w:ascii="Times New Roman" w:hAnsi="Times New Roman"/>
      <w:sz w:val="20"/>
      <w:szCs w:val="20"/>
    </w:rPr>
  </w:style>
  <w:style w:type="paragraph" w:styleId="976" w:customStyle="1">
    <w:name w:val="&quot;列出段落&quot;"/>
    <w:basedOn w:val="699"/>
    <w:uiPriority w:val="0"/>
    <w:qFormat/>
    <w:pPr>
      <w:ind w:firstLine="420"/>
    </w:pPr>
    <w:rPr>
      <w:rFonts w:cs="Calibri"/>
    </w:rPr>
  </w:style>
  <w:style w:type="paragraph" w:styleId="977" w:customStyle="1">
    <w:name w:val="&quot;标题 1&quot;"/>
    <w:basedOn w:val="699"/>
    <w:uiPriority w:val="0"/>
    <w:qFormat/>
    <w:pPr>
      <w:keepLines/>
      <w:keepNext/>
      <w:spacing w:before="340" w:after="330" w:line="578" w:lineRule="auto"/>
      <w:outlineLvl w:val="0"/>
    </w:pPr>
    <w:rPr>
      <w:rFonts w:cs="Calibri"/>
      <w:b/>
      <w:bCs/>
      <w:sz w:val="44"/>
      <w:szCs w:val="44"/>
    </w:rPr>
  </w:style>
  <w:style w:type="paragraph" w:styleId="978" w:customStyle="1">
    <w:name w:val="&quot;纯文本&quot;"/>
    <w:basedOn w:val="699"/>
    <w:uiPriority w:val="0"/>
    <w:qFormat/>
    <w:pPr>
      <w:jc w:val="left"/>
      <w:widowControl/>
    </w:pPr>
    <w:rPr>
      <w:rFonts w:ascii="宋体" w:hAnsi="Courier New" w:eastAsia="楷体_GB2312" w:cs="宋体"/>
      <w:sz w:val="26"/>
      <w:szCs w:val="20"/>
    </w:rPr>
  </w:style>
  <w:style w:type="paragraph" w:styleId="979" w:customStyle="1">
    <w:name w:val="&quot;普通(网站)&quot;"/>
    <w:basedOn w:val="699"/>
    <w:uiPriority w:val="0"/>
    <w:qFormat/>
    <w:pPr>
      <w:jc w:val="left"/>
      <w:spacing w:beforeAutospacing="1" w:afterAutospacing="1"/>
    </w:pPr>
    <w:rPr>
      <w:sz w:val="24"/>
    </w:rPr>
  </w:style>
  <w:style w:type="paragraph" w:styleId="980" w:customStyle="1">
    <w:name w:val="&quot;正文文本缩进 3&quot;"/>
    <w:basedOn w:val="699"/>
    <w:uiPriority w:val="0"/>
    <w:qFormat/>
    <w:pPr>
      <w:ind w:firstLine="480"/>
      <w:jc w:val="left"/>
      <w:spacing w:line="440" w:lineRule="atLeast"/>
    </w:pPr>
    <w:rPr>
      <w:rFonts w:ascii="Times New Roman" w:hAnsi="Times New Roman"/>
      <w:sz w:val="24"/>
      <w:szCs w:val="20"/>
    </w:rPr>
  </w:style>
  <w:style w:type="paragraph" w:styleId="981" w:customStyle="1">
    <w:name w:val="&quot;正文文本缩进&quot;"/>
    <w:basedOn w:val="699"/>
    <w:uiPriority w:val="0"/>
    <w:pPr>
      <w:ind w:left="420" w:firstLine="1180"/>
      <w:spacing w:line="360" w:lineRule="exact"/>
    </w:pPr>
    <w:rPr>
      <w:rFonts w:ascii="Times New Roman" w:hAnsi="Times New Roman"/>
    </w:rPr>
  </w:style>
  <w:style w:type="paragraph" w:styleId="982" w:customStyle="1">
    <w:name w:val="&quot;页眉&quot;"/>
    <w:basedOn w:val="699"/>
    <w:uiPriority w:val="0"/>
    <w:qFormat/>
    <w:pPr>
      <w:jc w:val="center"/>
      <w:tabs>
        <w:tab w:val="center" w:pos="4140" w:leader="none"/>
        <w:tab w:val="right" w:pos="8300" w:leader="none"/>
      </w:tabs>
    </w:pPr>
    <w:rPr>
      <w:rFonts w:cs="Calibri"/>
      <w:sz w:val="18"/>
      <w:szCs w:val="18"/>
    </w:rPr>
  </w:style>
  <w:style w:type="paragraph" w:styleId="983" w:customStyle="1">
    <w:name w:val="&quot;脚注文本&quot;"/>
    <w:uiPriority w:val="0"/>
    <w:pPr>
      <w:ind w:firstLine="3580"/>
      <w:jc w:val="both"/>
      <w:keepLines/>
      <w:keepNext/>
      <w:spacing w:line="360" w:lineRule="auto"/>
      <w:widowControl w:val="off"/>
      <w:outlineLvl w:val="0"/>
    </w:pPr>
    <w:rPr>
      <w:rFonts w:ascii="Times New Roman" w:hAnsi="Times New Roman" w:eastAsia="宋体" w:cs="Times New Roman"/>
      <w:b/>
      <w:bCs/>
      <w:sz w:val="21"/>
      <w:szCs w:val="24"/>
      <w:lang w:val="en-US" w:eastAsia="zh-CN" w:bidi="ar-SA"/>
    </w:rPr>
  </w:style>
  <w:style w:type="paragraph" w:styleId="984" w:customStyle="1">
    <w:name w:val="&quot;纯文本10&quot;"/>
    <w:basedOn w:val="699"/>
    <w:uiPriority w:val="0"/>
    <w:qFormat/>
    <w:pPr>
      <w:jc w:val="left"/>
    </w:pPr>
    <w:rPr>
      <w:rFonts w:ascii="宋体" w:hAnsi="Courier New" w:cs="宋体"/>
      <w:sz w:val="28"/>
    </w:rPr>
  </w:style>
  <w:style w:type="paragraph" w:styleId="985" w:customStyle="1">
    <w:name w:val="&quot;标题 11&quot;"/>
    <w:basedOn w:val="699"/>
    <w:uiPriority w:val="0"/>
    <w:qFormat/>
    <w:pPr>
      <w:jc w:val="left"/>
      <w:outlineLvl w:val="1"/>
    </w:pPr>
    <w:rPr>
      <w:rFonts w:ascii="仿宋" w:hAnsi="仿宋" w:eastAsia="仿宋"/>
      <w:b/>
      <w:bCs/>
      <w:color w:val="000000"/>
      <w:sz w:val="32"/>
      <w:szCs w:val="32"/>
      <w:lang w:eastAsia="en-US"/>
    </w:rPr>
  </w:style>
  <w:style w:type="paragraph" w:styleId="986" w:customStyle="1">
    <w:name w:val="&quot;纯文本8&quot;"/>
    <w:basedOn w:val="699"/>
    <w:uiPriority w:val="0"/>
    <w:qFormat/>
    <w:rPr>
      <w:rFonts w:ascii="宋体" w:hAnsi="Courier New" w:cs="宋体"/>
    </w:rPr>
  </w:style>
  <w:style w:type="paragraph" w:styleId="987" w:customStyle="1">
    <w:name w:val="&quot;正文文本11&quot;"/>
    <w:basedOn w:val="699"/>
    <w:uiPriority w:val="0"/>
    <w:qFormat/>
    <w:pPr>
      <w:spacing w:after="120"/>
    </w:pPr>
    <w:rPr>
      <w:rFonts w:ascii="Times New Roman" w:hAnsi="Times New Roman" w:cs="Calibri"/>
      <w:sz w:val="20"/>
      <w:szCs w:val="20"/>
    </w:rPr>
  </w:style>
  <w:style w:type="paragraph" w:styleId="988" w:customStyle="1">
    <w:name w:val="&quot;正文文本11&quot;1"/>
    <w:basedOn w:val="699"/>
    <w:uiPriority w:val="0"/>
    <w:qFormat/>
    <w:pPr>
      <w:spacing w:after="120"/>
    </w:pPr>
    <w:rPr>
      <w:rFonts w:ascii="Times New Roman" w:hAnsi="Times New Roman" w:cs="Calibri"/>
      <w:sz w:val="20"/>
      <w:szCs w:val="20"/>
    </w:rPr>
  </w:style>
  <w:style w:type="paragraph" w:styleId="989" w:customStyle="1">
    <w:name w:val="&quot;正文文本11&quot;2"/>
    <w:basedOn w:val="699"/>
    <w:uiPriority w:val="0"/>
    <w:qFormat/>
    <w:pPr>
      <w:spacing w:after="120"/>
    </w:pPr>
    <w:rPr>
      <w:rFonts w:ascii="Times New Roman" w:hAnsi="Times New Roman" w:cs="Calibri"/>
      <w:sz w:val="20"/>
      <w:szCs w:val="20"/>
    </w:rPr>
  </w:style>
  <w:style w:type="paragraph" w:styleId="990" w:customStyle="1">
    <w:name w:val="&quot;页脚&quot;1"/>
    <w:basedOn w:val="699"/>
    <w:uiPriority w:val="0"/>
    <w:qFormat/>
    <w:pPr>
      <w:ind w:firstLine="3580"/>
    </w:pPr>
    <w:rPr>
      <w:rFonts w:cs="Calibri"/>
      <w:sz w:val="20"/>
      <w:szCs w:val="20"/>
    </w:rPr>
  </w:style>
  <w:style w:type="paragraph" w:styleId="991" w:customStyle="1">
    <w:name w:val="&quot;目录 1&quot;1"/>
    <w:basedOn w:val="699"/>
    <w:uiPriority w:val="0"/>
    <w:qFormat/>
    <w:pPr>
      <w:jc w:val="left"/>
    </w:pPr>
    <w:rPr>
      <w:rFonts w:ascii="Times New Roman" w:hAnsi="Times New Roman" w:eastAsia="楷体_GB2312"/>
      <w:sz w:val="24"/>
      <w:szCs w:val="20"/>
    </w:rPr>
  </w:style>
  <w:style w:type="paragraph" w:styleId="992" w:customStyle="1">
    <w:name w:val="&quot;纯文本3&quot;1"/>
    <w:basedOn w:val="699"/>
    <w:uiPriority w:val="0"/>
    <w:qFormat/>
    <w:rPr>
      <w:rFonts w:ascii="宋体" w:hAnsi="Courier New" w:eastAsia="楷体_GB2312" w:cs="宋体"/>
      <w:sz w:val="26"/>
      <w:szCs w:val="22"/>
    </w:rPr>
  </w:style>
  <w:style w:type="paragraph" w:styleId="993" w:customStyle="1">
    <w:name w:val="&quot;正文缩进&quot;1"/>
    <w:basedOn w:val="699"/>
    <w:uiPriority w:val="0"/>
    <w:pPr>
      <w:ind w:firstLine="420"/>
      <w:jc w:val="left"/>
    </w:pPr>
    <w:rPr>
      <w:rFonts w:ascii="Times New Roman" w:hAnsi="Times New Roman" w:eastAsia="楷体_GB2312"/>
      <w:sz w:val="24"/>
      <w:szCs w:val="20"/>
    </w:rPr>
  </w:style>
  <w:style w:type="paragraph" w:styleId="994" w:customStyle="1">
    <w:name w:val="&quot;正文文本&quot;1"/>
    <w:basedOn w:val="699"/>
    <w:uiPriority w:val="0"/>
    <w:qFormat/>
    <w:pPr>
      <w:spacing w:after="120"/>
    </w:pPr>
    <w:rPr>
      <w:rFonts w:ascii="Times New Roman" w:hAnsi="Times New Roman"/>
      <w:sz w:val="20"/>
      <w:szCs w:val="20"/>
    </w:rPr>
  </w:style>
  <w:style w:type="paragraph" w:styleId="995" w:customStyle="1">
    <w:name w:val="&quot;列出段落&quot;1"/>
    <w:basedOn w:val="699"/>
    <w:uiPriority w:val="0"/>
    <w:qFormat/>
    <w:pPr>
      <w:ind w:firstLine="420"/>
    </w:pPr>
    <w:rPr>
      <w:rFonts w:cs="Calibri"/>
    </w:rPr>
  </w:style>
  <w:style w:type="paragraph" w:styleId="996" w:customStyle="1">
    <w:name w:val="&quot;标题 1&quot;1"/>
    <w:basedOn w:val="699"/>
    <w:uiPriority w:val="0"/>
    <w:qFormat/>
    <w:pPr>
      <w:keepLines/>
      <w:keepNext/>
      <w:spacing w:before="340" w:after="330" w:line="578" w:lineRule="auto"/>
      <w:outlineLvl w:val="0"/>
    </w:pPr>
    <w:rPr>
      <w:rFonts w:cs="Calibri"/>
      <w:b/>
      <w:bCs/>
      <w:sz w:val="44"/>
      <w:szCs w:val="44"/>
    </w:rPr>
  </w:style>
  <w:style w:type="paragraph" w:styleId="997" w:customStyle="1">
    <w:name w:val="&quot;纯文本&quot;1"/>
    <w:basedOn w:val="699"/>
    <w:uiPriority w:val="0"/>
    <w:pPr>
      <w:jc w:val="left"/>
      <w:widowControl/>
    </w:pPr>
    <w:rPr>
      <w:rFonts w:ascii="宋体" w:hAnsi="Courier New" w:eastAsia="楷体_GB2312" w:cs="宋体"/>
      <w:sz w:val="26"/>
      <w:szCs w:val="20"/>
    </w:rPr>
  </w:style>
  <w:style w:type="paragraph" w:styleId="998" w:customStyle="1">
    <w:name w:val="&quot;普通(网站)&quot;1"/>
    <w:basedOn w:val="699"/>
    <w:uiPriority w:val="0"/>
    <w:qFormat/>
    <w:pPr>
      <w:jc w:val="left"/>
      <w:spacing w:beforeAutospacing="1" w:afterAutospacing="1"/>
    </w:pPr>
    <w:rPr>
      <w:sz w:val="24"/>
    </w:rPr>
  </w:style>
  <w:style w:type="paragraph" w:styleId="999" w:customStyle="1">
    <w:name w:val="&quot;正文文本缩进 3&quot;1"/>
    <w:basedOn w:val="699"/>
    <w:uiPriority w:val="0"/>
    <w:qFormat/>
    <w:pPr>
      <w:ind w:firstLine="480"/>
      <w:jc w:val="left"/>
      <w:spacing w:line="440" w:lineRule="atLeast"/>
    </w:pPr>
    <w:rPr>
      <w:rFonts w:ascii="Times New Roman" w:hAnsi="Times New Roman"/>
      <w:sz w:val="24"/>
      <w:szCs w:val="20"/>
    </w:rPr>
  </w:style>
  <w:style w:type="paragraph" w:styleId="1000" w:customStyle="1">
    <w:name w:val="&quot;正文文本缩进&quot;1"/>
    <w:basedOn w:val="699"/>
    <w:uiPriority w:val="0"/>
    <w:qFormat/>
    <w:pPr>
      <w:ind w:left="420" w:firstLine="1180"/>
      <w:spacing w:line="360" w:lineRule="exact"/>
    </w:pPr>
    <w:rPr>
      <w:rFonts w:ascii="Times New Roman" w:hAnsi="Times New Roman"/>
    </w:rPr>
  </w:style>
  <w:style w:type="paragraph" w:styleId="1001" w:customStyle="1">
    <w:name w:val="&quot;页眉&quot;1"/>
    <w:basedOn w:val="699"/>
    <w:uiPriority w:val="0"/>
    <w:qFormat/>
    <w:pPr>
      <w:jc w:val="center"/>
      <w:tabs>
        <w:tab w:val="center" w:pos="4140" w:leader="none"/>
        <w:tab w:val="right" w:pos="8300" w:leader="none"/>
      </w:tabs>
    </w:pPr>
    <w:rPr>
      <w:rFonts w:cs="Calibri"/>
      <w:sz w:val="18"/>
      <w:szCs w:val="18"/>
    </w:rPr>
  </w:style>
  <w:style w:type="paragraph" w:styleId="1002" w:customStyle="1">
    <w:name w:val="&quot;脚注文本&quot;1"/>
    <w:uiPriority w:val="0"/>
    <w:qFormat/>
    <w:pPr>
      <w:ind w:firstLine="3580"/>
      <w:jc w:val="both"/>
      <w:keepLines/>
      <w:keepNext/>
      <w:spacing w:line="360" w:lineRule="auto"/>
      <w:widowControl w:val="off"/>
      <w:outlineLvl w:val="0"/>
    </w:pPr>
    <w:rPr>
      <w:rFonts w:ascii="Times New Roman" w:hAnsi="Times New Roman" w:eastAsia="宋体" w:cs="Times New Roman"/>
      <w:b/>
      <w:bCs/>
      <w:sz w:val="21"/>
      <w:szCs w:val="24"/>
      <w:lang w:val="en-US" w:eastAsia="zh-CN" w:bidi="ar-SA"/>
    </w:rPr>
  </w:style>
  <w:style w:type="paragraph" w:styleId="1003" w:customStyle="1">
    <w:name w:val="&quot;纯文本10&quot;1"/>
    <w:basedOn w:val="699"/>
    <w:uiPriority w:val="0"/>
    <w:qFormat/>
    <w:pPr>
      <w:jc w:val="left"/>
    </w:pPr>
    <w:rPr>
      <w:rFonts w:ascii="宋体" w:hAnsi="Courier New" w:cs="宋体"/>
      <w:sz w:val="28"/>
    </w:rPr>
  </w:style>
  <w:style w:type="paragraph" w:styleId="1004" w:customStyle="1">
    <w:name w:val="&quot;标题 11&quot;1"/>
    <w:basedOn w:val="699"/>
    <w:uiPriority w:val="0"/>
    <w:qFormat/>
    <w:pPr>
      <w:jc w:val="left"/>
      <w:outlineLvl w:val="1"/>
    </w:pPr>
    <w:rPr>
      <w:rFonts w:ascii="仿宋" w:hAnsi="仿宋" w:eastAsia="仿宋"/>
      <w:b/>
      <w:bCs/>
      <w:color w:val="000000"/>
      <w:sz w:val="32"/>
      <w:szCs w:val="32"/>
      <w:lang w:eastAsia="en-US"/>
    </w:rPr>
  </w:style>
  <w:style w:type="paragraph" w:styleId="1005" w:customStyle="1">
    <w:name w:val="&quot;纯文本8&quot;1"/>
    <w:basedOn w:val="699"/>
    <w:uiPriority w:val="0"/>
    <w:qFormat/>
    <w:rPr>
      <w:rFonts w:ascii="宋体" w:hAnsi="Courier New" w:cs="宋体"/>
    </w:rPr>
  </w:style>
  <w:style w:type="paragraph" w:styleId="1006" w:customStyle="1">
    <w:name w:val="&quot;正文文本11&quot;3"/>
    <w:basedOn w:val="699"/>
    <w:uiPriority w:val="0"/>
    <w:qFormat/>
    <w:pPr>
      <w:spacing w:after="120"/>
    </w:pPr>
    <w:rPr>
      <w:rFonts w:ascii="Times New Roman" w:hAnsi="Times New Roman" w:cs="Calibri"/>
      <w:sz w:val="20"/>
      <w:szCs w:val="20"/>
    </w:rPr>
  </w:style>
  <w:style w:type="paragraph" w:styleId="1007" w:customStyle="1">
    <w:name w:val="&quot;标题 11&quot;2"/>
    <w:basedOn w:val="699"/>
    <w:uiPriority w:val="0"/>
    <w:pPr>
      <w:jc w:val="left"/>
      <w:outlineLvl w:val="1"/>
    </w:pPr>
    <w:rPr>
      <w:rFonts w:ascii="仿宋" w:hAnsi="仿宋" w:eastAsia="仿宋"/>
      <w:b/>
      <w:bCs/>
      <w:sz w:val="32"/>
      <w:szCs w:val="32"/>
    </w:rPr>
  </w:style>
  <w:style w:type="paragraph" w:styleId="1008" w:customStyle="1">
    <w:name w:val="&quot;正文文本11&quot;4"/>
    <w:basedOn w:val="699"/>
    <w:uiPriority w:val="0"/>
    <w:qFormat/>
    <w:pPr>
      <w:spacing w:after="120"/>
    </w:pPr>
    <w:rPr>
      <w:rFonts w:ascii="Times New Roman" w:hAnsi="Times New Roman" w:cs="Calibri"/>
      <w:sz w:val="20"/>
      <w:szCs w:val="20"/>
    </w:rPr>
  </w:style>
  <w:style w:type="paragraph" w:styleId="1009" w:customStyle="1">
    <w:name w:val="&quot;标题 11&quot;3"/>
    <w:basedOn w:val="699"/>
    <w:uiPriority w:val="0"/>
    <w:qFormat/>
    <w:pPr>
      <w:jc w:val="left"/>
      <w:outlineLvl w:val="1"/>
    </w:pPr>
    <w:rPr>
      <w:rFonts w:ascii="仿宋" w:hAnsi="仿宋" w:eastAsia="仿宋"/>
      <w:b/>
      <w:bCs/>
      <w:sz w:val="32"/>
      <w:szCs w:val="32"/>
    </w:rPr>
  </w:style>
  <w:style w:type="paragraph" w:styleId="1010" w:customStyle="1">
    <w:name w:val="&quot;页脚&quot;2"/>
    <w:basedOn w:val="699"/>
    <w:uiPriority w:val="0"/>
    <w:qFormat/>
    <w:pPr>
      <w:ind w:firstLine="3580"/>
    </w:pPr>
    <w:rPr>
      <w:rFonts w:cs="Calibri"/>
      <w:sz w:val="20"/>
      <w:szCs w:val="20"/>
    </w:rPr>
  </w:style>
  <w:style w:type="paragraph" w:styleId="1011" w:customStyle="1">
    <w:name w:val="&quot;目录 1&quot;2"/>
    <w:basedOn w:val="699"/>
    <w:uiPriority w:val="0"/>
    <w:pPr>
      <w:jc w:val="left"/>
    </w:pPr>
    <w:rPr>
      <w:rFonts w:ascii="Times New Roman" w:hAnsi="Times New Roman" w:eastAsia="楷体_GB2312"/>
      <w:sz w:val="24"/>
      <w:szCs w:val="20"/>
    </w:rPr>
  </w:style>
  <w:style w:type="paragraph" w:styleId="1012" w:customStyle="1">
    <w:name w:val="&quot;纯文本3&quot;2"/>
    <w:basedOn w:val="699"/>
    <w:uiPriority w:val="0"/>
    <w:qFormat/>
    <w:rPr>
      <w:rFonts w:ascii="宋体" w:hAnsi="Courier New" w:eastAsia="楷体_GB2312" w:cs="宋体"/>
      <w:sz w:val="26"/>
      <w:szCs w:val="22"/>
    </w:rPr>
  </w:style>
  <w:style w:type="paragraph" w:styleId="1013" w:customStyle="1">
    <w:name w:val="&quot;正文缩进&quot;2"/>
    <w:basedOn w:val="699"/>
    <w:uiPriority w:val="0"/>
    <w:pPr>
      <w:ind w:firstLine="420"/>
      <w:jc w:val="left"/>
    </w:pPr>
    <w:rPr>
      <w:rFonts w:ascii="Times New Roman" w:hAnsi="Times New Roman" w:eastAsia="楷体_GB2312"/>
      <w:sz w:val="24"/>
      <w:szCs w:val="20"/>
    </w:rPr>
  </w:style>
  <w:style w:type="paragraph" w:styleId="1014" w:customStyle="1">
    <w:name w:val="&quot;正文文本&quot;2"/>
    <w:basedOn w:val="699"/>
    <w:uiPriority w:val="0"/>
    <w:qFormat/>
    <w:pPr>
      <w:spacing w:after="120"/>
    </w:pPr>
    <w:rPr>
      <w:rFonts w:ascii="Times New Roman" w:hAnsi="Times New Roman"/>
      <w:sz w:val="20"/>
      <w:szCs w:val="20"/>
    </w:rPr>
  </w:style>
  <w:style w:type="paragraph" w:styleId="1015" w:customStyle="1">
    <w:name w:val="&quot;列出段落&quot;2"/>
    <w:basedOn w:val="699"/>
    <w:uiPriority w:val="0"/>
    <w:qFormat/>
    <w:pPr>
      <w:ind w:firstLine="420"/>
    </w:pPr>
    <w:rPr>
      <w:rFonts w:cs="Calibri"/>
    </w:rPr>
  </w:style>
  <w:style w:type="paragraph" w:styleId="1016" w:customStyle="1">
    <w:name w:val="&quot;标题 1&quot;2"/>
    <w:basedOn w:val="699"/>
    <w:uiPriority w:val="0"/>
    <w:qFormat/>
    <w:pPr>
      <w:keepLines/>
      <w:keepNext/>
      <w:spacing w:before="340" w:after="330" w:line="578" w:lineRule="auto"/>
      <w:outlineLvl w:val="0"/>
    </w:pPr>
    <w:rPr>
      <w:rFonts w:cs="Calibri"/>
      <w:b/>
      <w:bCs/>
      <w:sz w:val="44"/>
      <w:szCs w:val="44"/>
    </w:rPr>
  </w:style>
  <w:style w:type="paragraph" w:styleId="1017" w:customStyle="1">
    <w:name w:val="&quot;纯文本&quot;2"/>
    <w:basedOn w:val="699"/>
    <w:uiPriority w:val="0"/>
    <w:pPr>
      <w:jc w:val="left"/>
      <w:widowControl/>
    </w:pPr>
    <w:rPr>
      <w:rFonts w:ascii="宋体" w:hAnsi="Courier New" w:eastAsia="楷体_GB2312" w:cs="宋体"/>
      <w:sz w:val="26"/>
      <w:szCs w:val="20"/>
    </w:rPr>
  </w:style>
  <w:style w:type="paragraph" w:styleId="1018" w:customStyle="1">
    <w:name w:val="&quot;普通(网站)&quot;2"/>
    <w:basedOn w:val="699"/>
    <w:uiPriority w:val="0"/>
    <w:qFormat/>
    <w:pPr>
      <w:jc w:val="left"/>
      <w:spacing w:beforeAutospacing="1" w:afterAutospacing="1"/>
    </w:pPr>
    <w:rPr>
      <w:sz w:val="24"/>
    </w:rPr>
  </w:style>
  <w:style w:type="paragraph" w:styleId="1019" w:customStyle="1">
    <w:name w:val="&quot;正文文本缩进 3&quot;2"/>
    <w:basedOn w:val="699"/>
    <w:uiPriority w:val="0"/>
    <w:pPr>
      <w:ind w:firstLine="480"/>
      <w:jc w:val="left"/>
      <w:spacing w:line="440" w:lineRule="atLeast"/>
    </w:pPr>
    <w:rPr>
      <w:rFonts w:ascii="Times New Roman" w:hAnsi="Times New Roman"/>
      <w:sz w:val="24"/>
      <w:szCs w:val="20"/>
    </w:rPr>
  </w:style>
  <w:style w:type="paragraph" w:styleId="1020" w:customStyle="1">
    <w:name w:val="&quot;正文文本缩进&quot;2"/>
    <w:basedOn w:val="699"/>
    <w:uiPriority w:val="0"/>
    <w:qFormat/>
    <w:pPr>
      <w:ind w:left="420" w:firstLine="1180"/>
      <w:spacing w:line="360" w:lineRule="exact"/>
    </w:pPr>
    <w:rPr>
      <w:rFonts w:ascii="Times New Roman" w:hAnsi="Times New Roman"/>
    </w:rPr>
  </w:style>
  <w:style w:type="paragraph" w:styleId="1021" w:customStyle="1">
    <w:name w:val="&quot;页眉&quot;2"/>
    <w:basedOn w:val="699"/>
    <w:uiPriority w:val="0"/>
    <w:pPr>
      <w:jc w:val="center"/>
      <w:tabs>
        <w:tab w:val="center" w:pos="4140" w:leader="none"/>
        <w:tab w:val="right" w:pos="8300" w:leader="none"/>
      </w:tabs>
    </w:pPr>
    <w:rPr>
      <w:rFonts w:cs="Calibri"/>
      <w:sz w:val="18"/>
      <w:szCs w:val="18"/>
    </w:rPr>
  </w:style>
  <w:style w:type="paragraph" w:styleId="1022" w:customStyle="1">
    <w:name w:val="&quot;脚注文本&quot;2"/>
    <w:uiPriority w:val="0"/>
    <w:pPr>
      <w:ind w:firstLine="3580"/>
      <w:jc w:val="both"/>
      <w:keepLines/>
      <w:keepNext/>
      <w:spacing w:line="360" w:lineRule="auto"/>
      <w:widowControl w:val="off"/>
      <w:outlineLvl w:val="0"/>
    </w:pPr>
    <w:rPr>
      <w:rFonts w:ascii="Times New Roman" w:hAnsi="Times New Roman" w:eastAsia="宋体" w:cs="Times New Roman"/>
      <w:b/>
      <w:bCs/>
      <w:sz w:val="21"/>
      <w:szCs w:val="24"/>
      <w:lang w:val="en-US" w:eastAsia="zh-CN" w:bidi="ar-SA"/>
    </w:rPr>
  </w:style>
  <w:style w:type="paragraph" w:styleId="1023" w:customStyle="1">
    <w:name w:val="&quot;纯文本10&quot;2"/>
    <w:basedOn w:val="699"/>
    <w:uiPriority w:val="0"/>
    <w:qFormat/>
    <w:pPr>
      <w:jc w:val="left"/>
    </w:pPr>
    <w:rPr>
      <w:rFonts w:ascii="宋体" w:hAnsi="Courier New" w:cs="宋体"/>
      <w:sz w:val="28"/>
    </w:rPr>
  </w:style>
  <w:style w:type="paragraph" w:styleId="1024" w:customStyle="1">
    <w:name w:val="&quot;标题 11&quot;4"/>
    <w:basedOn w:val="699"/>
    <w:uiPriority w:val="0"/>
    <w:qFormat/>
    <w:pPr>
      <w:jc w:val="left"/>
      <w:outlineLvl w:val="1"/>
    </w:pPr>
    <w:rPr>
      <w:rFonts w:ascii="仿宋" w:hAnsi="仿宋" w:eastAsia="仿宋"/>
      <w:b/>
      <w:bCs/>
      <w:color w:val="000000"/>
      <w:sz w:val="32"/>
      <w:szCs w:val="32"/>
      <w:lang w:eastAsia="en-US"/>
    </w:rPr>
  </w:style>
  <w:style w:type="paragraph" w:styleId="1025" w:customStyle="1">
    <w:name w:val="&quot;纯文本8&quot;2"/>
    <w:basedOn w:val="699"/>
    <w:uiPriority w:val="0"/>
    <w:qFormat/>
    <w:rPr>
      <w:rFonts w:ascii="宋体" w:hAnsi="Courier New" w:cs="宋体"/>
    </w:rPr>
  </w:style>
  <w:style w:type="character" w:styleId="1026" w:customStyle="1">
    <w:name w:val="NormalCharacter"/>
    <w:uiPriority w:val="0"/>
    <w:qFormat/>
  </w:style>
  <w:style w:type="character" w:styleId="1027" w:customStyle="1">
    <w:name w:val="页眉 字符1"/>
    <w:basedOn w:val="702"/>
    <w:link w:val="724"/>
    <w:uiPriority w:val="99"/>
    <w:qFormat/>
    <w:rPr>
      <w:rFonts w:ascii="Calibri" w:hAnsi="Calibri"/>
      <w:sz w:val="18"/>
      <w:szCs w:val="18"/>
    </w:rPr>
  </w:style>
  <w:style w:type="character" w:styleId="1028" w:customStyle="1">
    <w:name w:val="批注主题 字符"/>
    <w:basedOn w:val="754"/>
    <w:link w:val="706"/>
    <w:uiPriority w:val="99"/>
    <w:qFormat/>
    <w:rPr>
      <w:rFonts w:ascii="Calibri" w:hAnsi="Calibri"/>
      <w:b/>
      <w:bCs/>
      <w:sz w:val="21"/>
      <w:szCs w:val="22"/>
    </w:rPr>
  </w:style>
  <w:style w:type="character" w:styleId="1029" w:customStyle="1">
    <w:name w:val="正文首行缩进 字符"/>
    <w:basedOn w:val="755"/>
    <w:link w:val="709"/>
    <w:uiPriority w:val="0"/>
    <w:qFormat/>
    <w:rPr>
      <w:rFonts w:ascii="宋体" w:hAnsi="宋体"/>
      <w:sz w:val="24"/>
      <w:szCs w:val="24"/>
    </w:rPr>
  </w:style>
  <w:style w:type="character" w:styleId="1030" w:customStyle="1">
    <w:name w:val="批注框文本 字符"/>
    <w:basedOn w:val="702"/>
    <w:link w:val="721"/>
    <w:uiPriority w:val="99"/>
    <w:qFormat/>
    <w:rPr>
      <w:rFonts w:ascii="Calibri" w:hAnsi="Calibri" w:cs="宋体"/>
      <w:sz w:val="18"/>
      <w:szCs w:val="18"/>
    </w:rPr>
  </w:style>
  <w:style w:type="character" w:styleId="1031" w:customStyle="1">
    <w:name w:val="正文文本缩进 3 字符"/>
    <w:basedOn w:val="702"/>
    <w:link w:val="731"/>
    <w:uiPriority w:val="0"/>
    <w:qFormat/>
    <w:rPr>
      <w:rFonts w:ascii="Calibri" w:hAnsi="Calibri" w:cs="宋体"/>
      <w:sz w:val="24"/>
      <w:szCs w:val="24"/>
    </w:rPr>
  </w:style>
  <w:style w:type="character" w:styleId="1032" w:customStyle="1">
    <w:name w:val="页脚 字符"/>
    <w:uiPriority w:val="99"/>
    <w:qFormat/>
    <w:rPr>
      <w:sz w:val="18"/>
      <w:szCs w:val="18"/>
    </w:rPr>
  </w:style>
  <w:style w:type="character" w:styleId="1033" w:customStyle="1">
    <w:name w:val="页眉 字符"/>
    <w:uiPriority w:val="99"/>
    <w:qFormat/>
    <w:rPr>
      <w:sz w:val="18"/>
      <w:szCs w:val="18"/>
    </w:rPr>
  </w:style>
  <w:style w:type="character" w:styleId="1034" w:customStyle="1">
    <w:name w:val="正文文本缩进 3 Char1"/>
    <w:basedOn w:val="702"/>
    <w:uiPriority w:val="99"/>
    <w:qFormat/>
    <w:rPr>
      <w:rFonts w:ascii="Calibri" w:hAnsi="Calibri" w:eastAsia="宋体" w:cs="Times New Roman"/>
      <w:sz w:val="16"/>
      <w:szCs w:val="16"/>
    </w:rPr>
  </w:style>
  <w:style w:type="paragraph" w:styleId="1035" w:customStyle="1">
    <w:name w:val="纯文本21"/>
    <w:basedOn w:val="699"/>
    <w:uiPriority w:val="0"/>
    <w:qFormat/>
    <w:rPr>
      <w:rFonts w:ascii="宋体" w:hAnsi="Courier New"/>
    </w:rPr>
  </w:style>
  <w:style w:type="paragraph" w:styleId="1036" w:customStyle="1">
    <w:name w:val="&quot;普通(网站)1&quot;"/>
    <w:basedOn w:val="699"/>
    <w:uiPriority w:val="0"/>
    <w:qFormat/>
    <w:pPr>
      <w:jc w:val="left"/>
      <w:spacing w:beforeAutospacing="1" w:afterAutospacing="1"/>
    </w:pPr>
    <w:rPr>
      <w:rFonts w:ascii="Times New Roman" w:hAnsi="Times New Roman"/>
      <w:sz w:val="24"/>
    </w:rPr>
  </w:style>
  <w:style w:type="paragraph" w:styleId="1037" w:customStyle="1">
    <w:name w:val="&quot;纯文本111&quot;"/>
    <w:basedOn w:val="699"/>
    <w:uiPriority w:val="0"/>
    <w:qFormat/>
    <w:pPr>
      <w:jc w:val="left"/>
      <w:widowControl/>
    </w:pPr>
    <w:rPr>
      <w:rFonts w:ascii="宋体" w:hAnsi="Courier New" w:eastAsia="楷体_GB2312" w:cs="宋体"/>
      <w:sz w:val="26"/>
    </w:rPr>
  </w:style>
  <w:style w:type="paragraph" w:styleId="1038" w:customStyle="1">
    <w:name w:val="&quot;正文缩进1&quot;"/>
    <w:basedOn w:val="699"/>
    <w:uiPriority w:val="0"/>
    <w:qFormat/>
    <w:pPr>
      <w:ind w:firstLine="420"/>
      <w:jc w:val="left"/>
    </w:pPr>
    <w:rPr>
      <w:rFonts w:ascii="Times New Roman" w:hAnsi="Times New Roman" w:eastAsia="楷体_GB2312"/>
      <w:sz w:val="24"/>
      <w:szCs w:val="20"/>
    </w:rPr>
  </w:style>
  <w:style w:type="paragraph" w:styleId="1039" w:customStyle="1">
    <w:name w:val="&quot;PlainText1&quot;"/>
    <w:basedOn w:val="699"/>
    <w:uiPriority w:val="0"/>
    <w:qFormat/>
    <w:rPr>
      <w:rFonts w:ascii="宋体" w:hAnsi="Courier New" w:eastAsia="楷体_GB2312" w:cs="宋体"/>
      <w:sz w:val="28"/>
    </w:rPr>
  </w:style>
  <w:style w:type="paragraph" w:styleId="1040" w:customStyle="1">
    <w:name w:val="&quot;正文文本缩进 21&quot;"/>
    <w:basedOn w:val="699"/>
    <w:uiPriority w:val="0"/>
    <w:qFormat/>
    <w:pPr>
      <w:ind w:left="1" w:firstLine="480"/>
      <w:spacing w:line="400" w:lineRule="exact"/>
      <w:tabs>
        <w:tab w:val="left" w:pos="360" w:leader="none"/>
      </w:tabs>
    </w:pPr>
    <w:rPr>
      <w:rFonts w:ascii="Times New Roman" w:hAnsi="Times New Roman"/>
      <w:sz w:val="24"/>
    </w:rPr>
  </w:style>
  <w:style w:type="paragraph" w:styleId="1041" w:customStyle="1">
    <w:name w:val="&quot;页脚1&quot;"/>
    <w:basedOn w:val="699"/>
    <w:uiPriority w:val="0"/>
    <w:qFormat/>
    <w:pPr>
      <w:jc w:val="left"/>
      <w:tabs>
        <w:tab w:val="center" w:pos="4140" w:leader="none"/>
        <w:tab w:val="right" w:pos="8300" w:leader="none"/>
      </w:tabs>
    </w:pPr>
    <w:rPr>
      <w:rFonts w:cs="Calibri"/>
      <w:sz w:val="18"/>
    </w:rPr>
  </w:style>
  <w:style w:type="paragraph" w:styleId="1042" w:customStyle="1">
    <w:name w:val="&quot;目录 11&quot;"/>
    <w:basedOn w:val="699"/>
    <w:uiPriority w:val="0"/>
    <w:qFormat/>
    <w:pPr>
      <w:jc w:val="left"/>
    </w:pPr>
    <w:rPr>
      <w:rFonts w:ascii="Times New Roman" w:hAnsi="Times New Roman" w:eastAsia="楷体_GB2312"/>
      <w:sz w:val="24"/>
      <w:szCs w:val="20"/>
    </w:rPr>
  </w:style>
  <w:style w:type="paragraph" w:styleId="1043" w:customStyle="1">
    <w:name w:val="&quot;普通(网站)1&quot;1"/>
    <w:basedOn w:val="699"/>
    <w:uiPriority w:val="0"/>
    <w:qFormat/>
    <w:pPr>
      <w:jc w:val="left"/>
      <w:spacing w:beforeAutospacing="1" w:afterAutospacing="1"/>
    </w:pPr>
    <w:rPr>
      <w:rFonts w:ascii="Times New Roman" w:hAnsi="Times New Roman"/>
      <w:sz w:val="24"/>
    </w:rPr>
  </w:style>
  <w:style w:type="paragraph" w:styleId="1044" w:customStyle="1">
    <w:name w:val="&quot;纯文本111&quot;1"/>
    <w:basedOn w:val="699"/>
    <w:uiPriority w:val="0"/>
    <w:qFormat/>
    <w:pPr>
      <w:jc w:val="left"/>
      <w:widowControl/>
    </w:pPr>
    <w:rPr>
      <w:rFonts w:ascii="宋体" w:hAnsi="Courier New" w:eastAsia="楷体_GB2312" w:cs="宋体"/>
      <w:sz w:val="26"/>
    </w:rPr>
  </w:style>
  <w:style w:type="paragraph" w:styleId="1045" w:customStyle="1">
    <w:name w:val="&quot;正文缩进1&quot;1"/>
    <w:basedOn w:val="699"/>
    <w:uiPriority w:val="0"/>
    <w:qFormat/>
    <w:pPr>
      <w:ind w:firstLine="420"/>
      <w:jc w:val="left"/>
    </w:pPr>
    <w:rPr>
      <w:rFonts w:ascii="Times New Roman" w:hAnsi="Times New Roman" w:eastAsia="楷体_GB2312"/>
      <w:sz w:val="24"/>
      <w:szCs w:val="20"/>
    </w:rPr>
  </w:style>
  <w:style w:type="paragraph" w:styleId="1046" w:customStyle="1">
    <w:name w:val="&quot;PlainText1&quot;1"/>
    <w:basedOn w:val="699"/>
    <w:uiPriority w:val="0"/>
    <w:qFormat/>
    <w:rPr>
      <w:rFonts w:ascii="宋体" w:hAnsi="Courier New" w:eastAsia="楷体_GB2312" w:cs="宋体"/>
      <w:sz w:val="28"/>
    </w:rPr>
  </w:style>
  <w:style w:type="paragraph" w:styleId="1047" w:customStyle="1">
    <w:name w:val="&quot;正文文本缩进 21&quot;1"/>
    <w:basedOn w:val="699"/>
    <w:uiPriority w:val="0"/>
    <w:qFormat/>
    <w:pPr>
      <w:ind w:left="1" w:firstLine="480"/>
      <w:spacing w:line="400" w:lineRule="exact"/>
      <w:tabs>
        <w:tab w:val="left" w:pos="360" w:leader="none"/>
      </w:tabs>
    </w:pPr>
    <w:rPr>
      <w:rFonts w:ascii="Times New Roman" w:hAnsi="Times New Roman"/>
      <w:sz w:val="24"/>
    </w:rPr>
  </w:style>
  <w:style w:type="paragraph" w:styleId="1048" w:customStyle="1">
    <w:name w:val="&quot;页脚1&quot;1"/>
    <w:basedOn w:val="699"/>
    <w:uiPriority w:val="0"/>
    <w:qFormat/>
    <w:pPr>
      <w:jc w:val="left"/>
      <w:tabs>
        <w:tab w:val="center" w:pos="4140" w:leader="none"/>
        <w:tab w:val="right" w:pos="8300" w:leader="none"/>
      </w:tabs>
    </w:pPr>
    <w:rPr>
      <w:rFonts w:cs="Calibri"/>
      <w:sz w:val="18"/>
    </w:rPr>
  </w:style>
  <w:style w:type="paragraph" w:styleId="1049" w:customStyle="1">
    <w:name w:val="&quot;目录 11&quot;1"/>
    <w:basedOn w:val="699"/>
    <w:uiPriority w:val="0"/>
    <w:qFormat/>
    <w:pPr>
      <w:jc w:val="left"/>
    </w:pPr>
    <w:rPr>
      <w:rFonts w:ascii="Times New Roman" w:hAnsi="Times New Roman" w:eastAsia="楷体_GB2312"/>
      <w:sz w:val="24"/>
      <w:szCs w:val="20"/>
    </w:rPr>
  </w:style>
  <w:style w:type="paragraph" w:styleId="1050" w:customStyle="1">
    <w:name w:val="&quot;普通(网站)1&quot;2"/>
    <w:basedOn w:val="699"/>
    <w:uiPriority w:val="0"/>
    <w:qFormat/>
    <w:pPr>
      <w:jc w:val="left"/>
      <w:spacing w:beforeAutospacing="1" w:afterAutospacing="1"/>
    </w:pPr>
    <w:rPr>
      <w:rFonts w:ascii="Times New Roman" w:hAnsi="Times New Roman"/>
      <w:sz w:val="24"/>
    </w:rPr>
  </w:style>
  <w:style w:type="paragraph" w:styleId="1051" w:customStyle="1">
    <w:name w:val="&quot;纯文本111&quot;2"/>
    <w:basedOn w:val="699"/>
    <w:uiPriority w:val="0"/>
    <w:qFormat/>
    <w:pPr>
      <w:jc w:val="left"/>
      <w:widowControl/>
    </w:pPr>
    <w:rPr>
      <w:rFonts w:ascii="宋体" w:hAnsi="Courier New" w:eastAsia="楷体_GB2312" w:cs="宋体"/>
      <w:sz w:val="26"/>
    </w:rPr>
  </w:style>
  <w:style w:type="paragraph" w:styleId="1052" w:customStyle="1">
    <w:name w:val="&quot;正文缩进1&quot;2"/>
    <w:basedOn w:val="699"/>
    <w:uiPriority w:val="0"/>
    <w:qFormat/>
    <w:pPr>
      <w:ind w:firstLine="420"/>
      <w:jc w:val="left"/>
    </w:pPr>
    <w:rPr>
      <w:rFonts w:ascii="Times New Roman" w:hAnsi="Times New Roman" w:eastAsia="楷体_GB2312"/>
      <w:sz w:val="24"/>
      <w:szCs w:val="20"/>
    </w:rPr>
  </w:style>
  <w:style w:type="paragraph" w:styleId="1053" w:customStyle="1">
    <w:name w:val="&quot;PlainText1&quot;2"/>
    <w:basedOn w:val="699"/>
    <w:uiPriority w:val="0"/>
    <w:qFormat/>
    <w:rPr>
      <w:rFonts w:ascii="宋体" w:hAnsi="Courier New" w:eastAsia="楷体_GB2312" w:cs="宋体"/>
      <w:sz w:val="28"/>
    </w:rPr>
  </w:style>
  <w:style w:type="paragraph" w:styleId="1054" w:customStyle="1">
    <w:name w:val="&quot;正文文本缩进 21&quot;2"/>
    <w:basedOn w:val="699"/>
    <w:uiPriority w:val="0"/>
    <w:qFormat/>
    <w:pPr>
      <w:ind w:left="1" w:firstLine="480"/>
      <w:spacing w:line="400" w:lineRule="exact"/>
      <w:tabs>
        <w:tab w:val="left" w:pos="360" w:leader="none"/>
      </w:tabs>
    </w:pPr>
    <w:rPr>
      <w:rFonts w:ascii="Times New Roman" w:hAnsi="Times New Roman"/>
      <w:sz w:val="24"/>
    </w:rPr>
  </w:style>
  <w:style w:type="paragraph" w:styleId="1055" w:customStyle="1">
    <w:name w:val="&quot;页脚1&quot;2"/>
    <w:basedOn w:val="699"/>
    <w:uiPriority w:val="0"/>
    <w:qFormat/>
    <w:pPr>
      <w:jc w:val="left"/>
      <w:tabs>
        <w:tab w:val="center" w:pos="4140" w:leader="none"/>
        <w:tab w:val="right" w:pos="8300" w:leader="none"/>
      </w:tabs>
    </w:pPr>
    <w:rPr>
      <w:rFonts w:cs="Calibri"/>
      <w:sz w:val="18"/>
    </w:rPr>
  </w:style>
  <w:style w:type="paragraph" w:styleId="1056" w:customStyle="1">
    <w:name w:val="&quot;目录 11&quot;2"/>
    <w:basedOn w:val="699"/>
    <w:uiPriority w:val="0"/>
    <w:qFormat/>
    <w:pPr>
      <w:jc w:val="left"/>
    </w:pPr>
    <w:rPr>
      <w:rFonts w:ascii="Times New Roman" w:hAnsi="Times New Roman" w:eastAsia="楷体_GB2312"/>
      <w:sz w:val="24"/>
      <w:szCs w:val="20"/>
    </w:rPr>
  </w:style>
  <w:style w:type="paragraph" w:styleId="1057" w:customStyle="1">
    <w:name w:val="&quot;普通(网站)1&quot;3"/>
    <w:basedOn w:val="699"/>
    <w:uiPriority w:val="0"/>
    <w:qFormat/>
    <w:pPr>
      <w:jc w:val="left"/>
      <w:spacing w:beforeAutospacing="1" w:afterAutospacing="1"/>
    </w:pPr>
    <w:rPr>
      <w:rFonts w:ascii="Times New Roman" w:hAnsi="Times New Roman"/>
      <w:sz w:val="24"/>
    </w:rPr>
  </w:style>
  <w:style w:type="paragraph" w:styleId="1058" w:customStyle="1">
    <w:name w:val="&quot;纯文本111&quot;3"/>
    <w:basedOn w:val="699"/>
    <w:uiPriority w:val="0"/>
    <w:qFormat/>
    <w:pPr>
      <w:jc w:val="left"/>
      <w:widowControl/>
    </w:pPr>
    <w:rPr>
      <w:rFonts w:ascii="宋体" w:hAnsi="Courier New" w:eastAsia="楷体_GB2312" w:cs="宋体"/>
      <w:sz w:val="26"/>
    </w:rPr>
  </w:style>
  <w:style w:type="paragraph" w:styleId="1059" w:customStyle="1">
    <w:name w:val="&quot;正文缩进1&quot;3"/>
    <w:basedOn w:val="699"/>
    <w:uiPriority w:val="0"/>
    <w:qFormat/>
    <w:pPr>
      <w:ind w:firstLine="420"/>
      <w:jc w:val="left"/>
    </w:pPr>
    <w:rPr>
      <w:rFonts w:ascii="Times New Roman" w:hAnsi="Times New Roman" w:eastAsia="楷体_GB2312"/>
      <w:sz w:val="24"/>
      <w:szCs w:val="20"/>
    </w:rPr>
  </w:style>
  <w:style w:type="paragraph" w:styleId="1060" w:customStyle="1">
    <w:name w:val="&quot;PlainText1&quot;3"/>
    <w:basedOn w:val="699"/>
    <w:uiPriority w:val="0"/>
    <w:qFormat/>
    <w:rPr>
      <w:rFonts w:ascii="宋体" w:hAnsi="Courier New" w:eastAsia="楷体_GB2312" w:cs="宋体"/>
      <w:sz w:val="28"/>
    </w:rPr>
  </w:style>
  <w:style w:type="paragraph" w:styleId="1061" w:customStyle="1">
    <w:name w:val="&quot;正文文本缩进 21&quot;3"/>
    <w:basedOn w:val="699"/>
    <w:uiPriority w:val="0"/>
    <w:qFormat/>
    <w:pPr>
      <w:ind w:left="1" w:firstLine="480"/>
      <w:spacing w:line="400" w:lineRule="exact"/>
      <w:tabs>
        <w:tab w:val="left" w:pos="360" w:leader="none"/>
      </w:tabs>
    </w:pPr>
    <w:rPr>
      <w:rFonts w:ascii="Times New Roman" w:hAnsi="Times New Roman"/>
      <w:sz w:val="24"/>
    </w:rPr>
  </w:style>
  <w:style w:type="paragraph" w:styleId="1062" w:customStyle="1">
    <w:name w:val="&quot;页脚1&quot;3"/>
    <w:basedOn w:val="699"/>
    <w:uiPriority w:val="0"/>
    <w:qFormat/>
    <w:pPr>
      <w:jc w:val="left"/>
      <w:tabs>
        <w:tab w:val="center" w:pos="4140" w:leader="none"/>
        <w:tab w:val="right" w:pos="8300" w:leader="none"/>
      </w:tabs>
    </w:pPr>
    <w:rPr>
      <w:rFonts w:cs="Calibri"/>
      <w:sz w:val="18"/>
    </w:rPr>
  </w:style>
  <w:style w:type="paragraph" w:styleId="1063" w:customStyle="1">
    <w:name w:val="&quot;目录 11&quot;3"/>
    <w:basedOn w:val="699"/>
    <w:uiPriority w:val="0"/>
    <w:qFormat/>
    <w:pPr>
      <w:jc w:val="left"/>
    </w:pPr>
    <w:rPr>
      <w:rFonts w:ascii="Times New Roman" w:hAnsi="Times New Roman" w:eastAsia="楷体_GB2312"/>
      <w:sz w:val="24"/>
      <w:szCs w:val="20"/>
    </w:rPr>
  </w:style>
  <w:style w:type="paragraph" w:styleId="1064" w:customStyle="1">
    <w:name w:val="&quot;普通(网站)1&quot;4"/>
    <w:basedOn w:val="699"/>
    <w:uiPriority w:val="0"/>
    <w:qFormat/>
    <w:pPr>
      <w:jc w:val="left"/>
      <w:spacing w:beforeAutospacing="1" w:afterAutospacing="1"/>
    </w:pPr>
    <w:rPr>
      <w:rFonts w:ascii="Times New Roman" w:hAnsi="Times New Roman"/>
      <w:sz w:val="24"/>
    </w:rPr>
  </w:style>
  <w:style w:type="paragraph" w:styleId="1065" w:customStyle="1">
    <w:name w:val="&quot;纯文本111&quot;4"/>
    <w:basedOn w:val="699"/>
    <w:uiPriority w:val="0"/>
    <w:qFormat/>
    <w:pPr>
      <w:jc w:val="left"/>
      <w:widowControl/>
    </w:pPr>
    <w:rPr>
      <w:rFonts w:ascii="宋体" w:hAnsi="Courier New" w:eastAsia="楷体_GB2312" w:cs="宋体"/>
      <w:sz w:val="26"/>
    </w:rPr>
  </w:style>
  <w:style w:type="paragraph" w:styleId="1066" w:customStyle="1">
    <w:name w:val="&quot;正文缩进1&quot;4"/>
    <w:basedOn w:val="699"/>
    <w:uiPriority w:val="0"/>
    <w:qFormat/>
    <w:pPr>
      <w:ind w:firstLine="420"/>
      <w:jc w:val="left"/>
    </w:pPr>
    <w:rPr>
      <w:rFonts w:ascii="Times New Roman" w:hAnsi="Times New Roman" w:eastAsia="楷体_GB2312"/>
      <w:sz w:val="24"/>
      <w:szCs w:val="20"/>
    </w:rPr>
  </w:style>
  <w:style w:type="paragraph" w:styleId="1067" w:customStyle="1">
    <w:name w:val="&quot;PlainText1&quot;4"/>
    <w:basedOn w:val="699"/>
    <w:uiPriority w:val="0"/>
    <w:qFormat/>
    <w:rPr>
      <w:rFonts w:ascii="宋体" w:hAnsi="Courier New" w:eastAsia="楷体_GB2312" w:cs="宋体"/>
      <w:sz w:val="28"/>
    </w:rPr>
  </w:style>
  <w:style w:type="paragraph" w:styleId="1068" w:customStyle="1">
    <w:name w:val="&quot;正文文本缩进 21&quot;4"/>
    <w:basedOn w:val="699"/>
    <w:uiPriority w:val="0"/>
    <w:qFormat/>
    <w:pPr>
      <w:ind w:left="1" w:firstLine="480"/>
      <w:spacing w:line="400" w:lineRule="exact"/>
      <w:tabs>
        <w:tab w:val="left" w:pos="360" w:leader="none"/>
      </w:tabs>
    </w:pPr>
    <w:rPr>
      <w:rFonts w:ascii="Times New Roman" w:hAnsi="Times New Roman"/>
      <w:sz w:val="24"/>
    </w:rPr>
  </w:style>
  <w:style w:type="paragraph" w:styleId="1069" w:customStyle="1">
    <w:name w:val="&quot;页脚1&quot;4"/>
    <w:basedOn w:val="699"/>
    <w:uiPriority w:val="0"/>
    <w:qFormat/>
    <w:pPr>
      <w:jc w:val="left"/>
      <w:tabs>
        <w:tab w:val="center" w:pos="4140" w:leader="none"/>
        <w:tab w:val="right" w:pos="8300" w:leader="none"/>
      </w:tabs>
    </w:pPr>
    <w:rPr>
      <w:rFonts w:cs="Calibri"/>
      <w:sz w:val="18"/>
    </w:rPr>
  </w:style>
  <w:style w:type="paragraph" w:styleId="1070" w:customStyle="1">
    <w:name w:val="&quot;目录 11&quot;4"/>
    <w:basedOn w:val="699"/>
    <w:uiPriority w:val="0"/>
    <w:qFormat/>
    <w:pPr>
      <w:jc w:val="left"/>
    </w:pPr>
    <w:rPr>
      <w:rFonts w:ascii="Times New Roman" w:hAnsi="Times New Roman" w:eastAsia="楷体_GB2312"/>
      <w:sz w:val="24"/>
      <w:szCs w:val="20"/>
    </w:rPr>
  </w:style>
  <w:style w:type="paragraph" w:styleId="1071" w:customStyle="1">
    <w:name w:val="&quot;普通(网站)1&quot;5"/>
    <w:basedOn w:val="699"/>
    <w:uiPriority w:val="0"/>
    <w:qFormat/>
    <w:pPr>
      <w:jc w:val="left"/>
      <w:spacing w:beforeAutospacing="1" w:afterAutospacing="1"/>
    </w:pPr>
    <w:rPr>
      <w:rFonts w:ascii="Times New Roman" w:hAnsi="Times New Roman"/>
      <w:sz w:val="24"/>
    </w:rPr>
  </w:style>
  <w:style w:type="paragraph" w:styleId="1072" w:customStyle="1">
    <w:name w:val="&quot;纯文本111&quot;5"/>
    <w:basedOn w:val="699"/>
    <w:uiPriority w:val="0"/>
    <w:qFormat/>
    <w:pPr>
      <w:jc w:val="left"/>
      <w:widowControl/>
    </w:pPr>
    <w:rPr>
      <w:rFonts w:ascii="宋体" w:hAnsi="Courier New" w:eastAsia="楷体_GB2312" w:cs="宋体"/>
      <w:sz w:val="26"/>
    </w:rPr>
  </w:style>
  <w:style w:type="paragraph" w:styleId="1073" w:customStyle="1">
    <w:name w:val="&quot;正文缩进1&quot;5"/>
    <w:basedOn w:val="699"/>
    <w:uiPriority w:val="0"/>
    <w:qFormat/>
    <w:pPr>
      <w:ind w:firstLine="420"/>
      <w:jc w:val="left"/>
    </w:pPr>
    <w:rPr>
      <w:rFonts w:ascii="Times New Roman" w:hAnsi="Times New Roman" w:eastAsia="楷体_GB2312"/>
      <w:sz w:val="24"/>
      <w:szCs w:val="20"/>
    </w:rPr>
  </w:style>
  <w:style w:type="paragraph" w:styleId="1074" w:customStyle="1">
    <w:name w:val="&quot;PlainText1&quot;5"/>
    <w:basedOn w:val="699"/>
    <w:uiPriority w:val="0"/>
    <w:qFormat/>
    <w:rPr>
      <w:rFonts w:ascii="宋体" w:hAnsi="Courier New" w:eastAsia="楷体_GB2312" w:cs="宋体"/>
      <w:sz w:val="28"/>
    </w:rPr>
  </w:style>
  <w:style w:type="paragraph" w:styleId="1075" w:customStyle="1">
    <w:name w:val="&quot;正文文本缩进 21&quot;5"/>
    <w:basedOn w:val="699"/>
    <w:uiPriority w:val="0"/>
    <w:qFormat/>
    <w:pPr>
      <w:ind w:left="1" w:firstLine="480"/>
      <w:spacing w:line="400" w:lineRule="exact"/>
      <w:tabs>
        <w:tab w:val="left" w:pos="360" w:leader="none"/>
      </w:tabs>
    </w:pPr>
    <w:rPr>
      <w:rFonts w:ascii="Times New Roman" w:hAnsi="Times New Roman"/>
      <w:sz w:val="24"/>
    </w:rPr>
  </w:style>
  <w:style w:type="paragraph" w:styleId="1076" w:customStyle="1">
    <w:name w:val="&quot;页脚1&quot;5"/>
    <w:basedOn w:val="699"/>
    <w:uiPriority w:val="0"/>
    <w:qFormat/>
    <w:pPr>
      <w:jc w:val="left"/>
      <w:tabs>
        <w:tab w:val="center" w:pos="4140" w:leader="none"/>
        <w:tab w:val="right" w:pos="8300" w:leader="none"/>
      </w:tabs>
    </w:pPr>
    <w:rPr>
      <w:rFonts w:cs="Calibri"/>
      <w:sz w:val="18"/>
    </w:rPr>
  </w:style>
  <w:style w:type="paragraph" w:styleId="1077" w:customStyle="1">
    <w:name w:val="&quot;目录 11&quot;5"/>
    <w:basedOn w:val="699"/>
    <w:uiPriority w:val="0"/>
    <w:qFormat/>
    <w:pPr>
      <w:jc w:val="left"/>
    </w:pPr>
    <w:rPr>
      <w:rFonts w:ascii="Times New Roman" w:hAnsi="Times New Roman" w:eastAsia="楷体_GB2312"/>
      <w:sz w:val="24"/>
      <w:szCs w:val="20"/>
    </w:rPr>
  </w:style>
  <w:style w:type="paragraph" w:styleId="1078" w:customStyle="1">
    <w:name w:val="&quot;普通(网站)1&quot;6"/>
    <w:basedOn w:val="699"/>
    <w:uiPriority w:val="0"/>
    <w:qFormat/>
    <w:pPr>
      <w:jc w:val="left"/>
      <w:spacing w:beforeAutospacing="1" w:afterAutospacing="1"/>
    </w:pPr>
    <w:rPr>
      <w:rFonts w:ascii="Times New Roman" w:hAnsi="Times New Roman"/>
      <w:sz w:val="24"/>
    </w:rPr>
  </w:style>
  <w:style w:type="paragraph" w:styleId="1079" w:customStyle="1">
    <w:name w:val="&quot;纯文本111&quot;6"/>
    <w:basedOn w:val="699"/>
    <w:uiPriority w:val="0"/>
    <w:qFormat/>
    <w:pPr>
      <w:jc w:val="left"/>
      <w:widowControl/>
    </w:pPr>
    <w:rPr>
      <w:rFonts w:ascii="宋体" w:hAnsi="Courier New" w:eastAsia="楷体_GB2312" w:cs="宋体"/>
      <w:sz w:val="26"/>
    </w:rPr>
  </w:style>
  <w:style w:type="paragraph" w:styleId="1080" w:customStyle="1">
    <w:name w:val="&quot;正文缩进1&quot;6"/>
    <w:basedOn w:val="699"/>
    <w:uiPriority w:val="0"/>
    <w:qFormat/>
    <w:pPr>
      <w:ind w:firstLine="420"/>
      <w:jc w:val="left"/>
    </w:pPr>
    <w:rPr>
      <w:rFonts w:ascii="Times New Roman" w:hAnsi="Times New Roman" w:eastAsia="楷体_GB2312"/>
      <w:sz w:val="24"/>
      <w:szCs w:val="20"/>
    </w:rPr>
  </w:style>
  <w:style w:type="paragraph" w:styleId="1081" w:customStyle="1">
    <w:name w:val="&quot;PlainText1&quot;6"/>
    <w:basedOn w:val="699"/>
    <w:uiPriority w:val="0"/>
    <w:qFormat/>
    <w:rPr>
      <w:rFonts w:ascii="宋体" w:hAnsi="Courier New" w:eastAsia="楷体_GB2312" w:cs="宋体"/>
      <w:sz w:val="28"/>
    </w:rPr>
  </w:style>
  <w:style w:type="paragraph" w:styleId="1082" w:customStyle="1">
    <w:name w:val="&quot;正文文本缩进 21&quot;6"/>
    <w:basedOn w:val="699"/>
    <w:uiPriority w:val="0"/>
    <w:qFormat/>
    <w:pPr>
      <w:ind w:left="1" w:firstLine="480"/>
      <w:spacing w:line="400" w:lineRule="exact"/>
      <w:tabs>
        <w:tab w:val="left" w:pos="360" w:leader="none"/>
      </w:tabs>
    </w:pPr>
    <w:rPr>
      <w:rFonts w:ascii="Times New Roman" w:hAnsi="Times New Roman"/>
      <w:sz w:val="24"/>
    </w:rPr>
  </w:style>
  <w:style w:type="paragraph" w:styleId="1083" w:customStyle="1">
    <w:name w:val="&quot;页脚1&quot;6"/>
    <w:basedOn w:val="699"/>
    <w:uiPriority w:val="0"/>
    <w:qFormat/>
    <w:pPr>
      <w:jc w:val="left"/>
      <w:tabs>
        <w:tab w:val="center" w:pos="4140" w:leader="none"/>
        <w:tab w:val="right" w:pos="8300" w:leader="none"/>
      </w:tabs>
    </w:pPr>
    <w:rPr>
      <w:rFonts w:cs="Calibri"/>
      <w:sz w:val="18"/>
    </w:rPr>
  </w:style>
  <w:style w:type="paragraph" w:styleId="1084" w:customStyle="1">
    <w:name w:val="&quot;目录 11&quot;6"/>
    <w:basedOn w:val="699"/>
    <w:uiPriority w:val="0"/>
    <w:qFormat/>
    <w:pPr>
      <w:jc w:val="left"/>
    </w:pPr>
    <w:rPr>
      <w:rFonts w:ascii="Times New Roman" w:hAnsi="Times New Roman" w:eastAsia="楷体_GB2312"/>
      <w:sz w:val="24"/>
      <w:szCs w:val="20"/>
    </w:rPr>
  </w:style>
  <w:style w:type="paragraph" w:styleId="1085" w:customStyle="1">
    <w:name w:val="&quot;正文1&quot;"/>
    <w:basedOn w:val="699"/>
    <w:uiPriority w:val="0"/>
    <w:qFormat/>
    <w:pPr>
      <w:ind w:left="420" w:firstLine="520"/>
      <w:spacing w:before="120" w:line="360" w:lineRule="auto"/>
    </w:pPr>
    <w:rPr>
      <w:rFonts w:ascii="宋体" w:hAnsi="宋体" w:eastAsia="等线" w:cs="宋体"/>
      <w:szCs w:val="22"/>
    </w:rPr>
  </w:style>
  <w:style w:type="paragraph" w:styleId="1086" w:customStyle="1">
    <w:name w:val="&quot;普通(网站)1&quot;7"/>
    <w:basedOn w:val="699"/>
    <w:uiPriority w:val="0"/>
    <w:qFormat/>
    <w:pPr>
      <w:jc w:val="left"/>
      <w:spacing w:beforeAutospacing="1" w:afterAutospacing="1"/>
    </w:pPr>
    <w:rPr>
      <w:rFonts w:ascii="Times New Roman" w:hAnsi="Times New Roman"/>
      <w:sz w:val="24"/>
    </w:rPr>
  </w:style>
  <w:style w:type="paragraph" w:styleId="1087" w:customStyle="1">
    <w:name w:val="&quot;纯文本111&quot;7"/>
    <w:basedOn w:val="699"/>
    <w:uiPriority w:val="0"/>
    <w:qFormat/>
    <w:pPr>
      <w:jc w:val="left"/>
      <w:widowControl/>
    </w:pPr>
    <w:rPr>
      <w:rFonts w:ascii="宋体" w:hAnsi="Courier New" w:eastAsia="楷体_GB2312"/>
      <w:sz w:val="26"/>
    </w:rPr>
  </w:style>
  <w:style w:type="paragraph" w:styleId="1088" w:customStyle="1">
    <w:name w:val="&quot;Plain Text1&quot;"/>
    <w:basedOn w:val="699"/>
    <w:uiPriority w:val="0"/>
    <w:qFormat/>
    <w:rPr>
      <w:rFonts w:ascii="宋体" w:hAnsi="Courier New"/>
      <w:sz w:val="26"/>
      <w:szCs w:val="20"/>
    </w:rPr>
  </w:style>
  <w:style w:type="paragraph" w:styleId="1089" w:customStyle="1">
    <w:name w:val="&quot;正文缩进1&quot;7"/>
    <w:basedOn w:val="699"/>
    <w:uiPriority w:val="0"/>
    <w:qFormat/>
    <w:pPr>
      <w:ind w:firstLine="420"/>
      <w:jc w:val="left"/>
    </w:pPr>
    <w:rPr>
      <w:rFonts w:ascii="Times New Roman" w:hAnsi="Times New Roman" w:eastAsia="楷体_GB2312"/>
      <w:sz w:val="24"/>
      <w:szCs w:val="20"/>
    </w:rPr>
  </w:style>
  <w:style w:type="paragraph" w:styleId="1090" w:customStyle="1">
    <w:name w:val="&quot;PlainText1&quot;7"/>
    <w:basedOn w:val="699"/>
    <w:uiPriority w:val="0"/>
    <w:qFormat/>
    <w:rPr>
      <w:rFonts w:ascii="宋体" w:hAnsi="Courier New" w:eastAsia="楷体_GB2312"/>
      <w:sz w:val="28"/>
    </w:rPr>
  </w:style>
  <w:style w:type="paragraph" w:styleId="1091" w:customStyle="1">
    <w:name w:val="&quot;正文文本缩进 21&quot;7"/>
    <w:basedOn w:val="699"/>
    <w:uiPriority w:val="0"/>
    <w:qFormat/>
    <w:pPr>
      <w:ind w:left="1" w:firstLine="480"/>
      <w:spacing w:line="400" w:lineRule="exact"/>
      <w:tabs>
        <w:tab w:val="left" w:pos="360" w:leader="none"/>
      </w:tabs>
    </w:pPr>
    <w:rPr>
      <w:rFonts w:ascii="Times New Roman" w:hAnsi="Times New Roman"/>
      <w:sz w:val="24"/>
    </w:rPr>
  </w:style>
  <w:style w:type="paragraph" w:styleId="1092" w:customStyle="1">
    <w:name w:val="&quot;页脚1&quot;7"/>
    <w:basedOn w:val="699"/>
    <w:uiPriority w:val="0"/>
    <w:qFormat/>
    <w:pPr>
      <w:jc w:val="left"/>
      <w:tabs>
        <w:tab w:val="center" w:pos="4140" w:leader="none"/>
        <w:tab w:val="right" w:pos="8300" w:leader="none"/>
      </w:tabs>
    </w:pPr>
    <w:rPr>
      <w:sz w:val="18"/>
    </w:rPr>
  </w:style>
  <w:style w:type="paragraph" w:styleId="1093" w:customStyle="1">
    <w:name w:val="&quot;正文1&quot;1"/>
    <w:basedOn w:val="699"/>
    <w:uiPriority w:val="0"/>
    <w:qFormat/>
    <w:pPr>
      <w:ind w:firstLine="480"/>
      <w:spacing w:line="440" w:lineRule="exact"/>
    </w:pPr>
    <w:rPr>
      <w:rFonts w:ascii="Times New Roman" w:hAnsi="Times New Roman"/>
      <w:color w:val="000000"/>
      <w:sz w:val="24"/>
      <w:szCs w:val="32"/>
    </w:rPr>
  </w:style>
  <w:style w:type="paragraph" w:styleId="1094" w:customStyle="1">
    <w:name w:val="&quot;Heading 4&quot;"/>
    <w:basedOn w:val="699"/>
    <w:uiPriority w:val="0"/>
    <w:qFormat/>
    <w:pPr>
      <w:keepLines/>
      <w:keepNext/>
      <w:spacing w:before="320" w:after="200"/>
      <w:outlineLvl w:val="3"/>
    </w:pPr>
    <w:rPr>
      <w:rFonts w:ascii="Arial" w:hAnsi="Arial" w:eastAsia="Arial" w:cs="Arial"/>
      <w:b/>
      <w:bCs/>
      <w:sz w:val="26"/>
      <w:szCs w:val="26"/>
    </w:rPr>
  </w:style>
  <w:style w:type="paragraph" w:styleId="1095" w:customStyle="1">
    <w:name w:val="&quot;目录 11&quot;7"/>
    <w:basedOn w:val="699"/>
    <w:uiPriority w:val="0"/>
    <w:qFormat/>
    <w:pPr>
      <w:jc w:val="left"/>
    </w:pPr>
    <w:rPr>
      <w:rFonts w:ascii="Times New Roman" w:hAnsi="Times New Roman" w:eastAsia="楷体_GB2312"/>
      <w:sz w:val="24"/>
      <w:szCs w:val="20"/>
    </w:rPr>
  </w:style>
  <w:style w:type="paragraph" w:styleId="1096" w:customStyle="1">
    <w:name w:val="&quot;普通(网站)1&quot;8"/>
    <w:basedOn w:val="699"/>
    <w:uiPriority w:val="0"/>
    <w:qFormat/>
    <w:pPr>
      <w:jc w:val="left"/>
      <w:spacing w:beforeAutospacing="1" w:afterAutospacing="1"/>
    </w:pPr>
    <w:rPr>
      <w:rFonts w:ascii="Times New Roman" w:hAnsi="Times New Roman"/>
      <w:sz w:val="24"/>
    </w:rPr>
  </w:style>
  <w:style w:type="paragraph" w:styleId="1097" w:customStyle="1">
    <w:name w:val="&quot;纯文本111&quot;8"/>
    <w:basedOn w:val="699"/>
    <w:uiPriority w:val="0"/>
    <w:qFormat/>
    <w:pPr>
      <w:jc w:val="left"/>
      <w:widowControl/>
    </w:pPr>
    <w:rPr>
      <w:rFonts w:ascii="宋体" w:hAnsi="Courier New" w:eastAsia="楷体_GB2312"/>
      <w:sz w:val="26"/>
    </w:rPr>
  </w:style>
  <w:style w:type="paragraph" w:styleId="1098" w:customStyle="1">
    <w:name w:val="&quot;Plain Text1&quot;1"/>
    <w:basedOn w:val="699"/>
    <w:uiPriority w:val="0"/>
    <w:qFormat/>
    <w:rPr>
      <w:rFonts w:ascii="宋体" w:hAnsi="Courier New"/>
      <w:sz w:val="26"/>
      <w:szCs w:val="20"/>
    </w:rPr>
  </w:style>
  <w:style w:type="paragraph" w:styleId="1099" w:customStyle="1">
    <w:name w:val="&quot;正文缩进1&quot;8"/>
    <w:basedOn w:val="699"/>
    <w:uiPriority w:val="0"/>
    <w:qFormat/>
    <w:pPr>
      <w:ind w:firstLine="420"/>
      <w:jc w:val="left"/>
    </w:pPr>
    <w:rPr>
      <w:rFonts w:ascii="Times New Roman" w:hAnsi="Times New Roman" w:eastAsia="楷体_GB2312"/>
      <w:sz w:val="24"/>
      <w:szCs w:val="20"/>
    </w:rPr>
  </w:style>
  <w:style w:type="paragraph" w:styleId="1100" w:customStyle="1">
    <w:name w:val="&quot;PlainText1&quot;8"/>
    <w:basedOn w:val="699"/>
    <w:uiPriority w:val="0"/>
    <w:qFormat/>
    <w:rPr>
      <w:rFonts w:ascii="宋体" w:hAnsi="Courier New" w:eastAsia="楷体_GB2312"/>
      <w:sz w:val="28"/>
    </w:rPr>
  </w:style>
  <w:style w:type="paragraph" w:styleId="1101" w:customStyle="1">
    <w:name w:val="&quot;正文文本缩进 21&quot;8"/>
    <w:basedOn w:val="699"/>
    <w:uiPriority w:val="0"/>
    <w:qFormat/>
    <w:pPr>
      <w:ind w:left="1" w:firstLine="480"/>
      <w:spacing w:line="400" w:lineRule="exact"/>
      <w:tabs>
        <w:tab w:val="left" w:pos="360" w:leader="none"/>
      </w:tabs>
    </w:pPr>
    <w:rPr>
      <w:rFonts w:ascii="Times New Roman" w:hAnsi="Times New Roman"/>
      <w:sz w:val="24"/>
    </w:rPr>
  </w:style>
  <w:style w:type="paragraph" w:styleId="1102" w:customStyle="1">
    <w:name w:val="&quot;页脚1&quot;8"/>
    <w:basedOn w:val="699"/>
    <w:uiPriority w:val="0"/>
    <w:qFormat/>
    <w:pPr>
      <w:jc w:val="left"/>
      <w:tabs>
        <w:tab w:val="center" w:pos="4140" w:leader="none"/>
        <w:tab w:val="right" w:pos="8300" w:leader="none"/>
      </w:tabs>
    </w:pPr>
    <w:rPr>
      <w:sz w:val="18"/>
    </w:rPr>
  </w:style>
  <w:style w:type="paragraph" w:styleId="1103" w:customStyle="1">
    <w:name w:val="&quot;正文1&quot;2"/>
    <w:basedOn w:val="699"/>
    <w:uiPriority w:val="0"/>
    <w:qFormat/>
    <w:pPr>
      <w:ind w:firstLine="480"/>
      <w:spacing w:line="440" w:lineRule="exact"/>
    </w:pPr>
    <w:rPr>
      <w:rFonts w:ascii="Times New Roman" w:hAnsi="Times New Roman"/>
      <w:color w:val="000000"/>
      <w:sz w:val="24"/>
      <w:szCs w:val="32"/>
    </w:rPr>
  </w:style>
  <w:style w:type="paragraph" w:styleId="1104" w:customStyle="1">
    <w:name w:val="&quot;Heading 4&quot;1"/>
    <w:basedOn w:val="699"/>
    <w:uiPriority w:val="0"/>
    <w:qFormat/>
    <w:pPr>
      <w:keepLines/>
      <w:keepNext/>
      <w:spacing w:before="320" w:after="200"/>
      <w:outlineLvl w:val="3"/>
    </w:pPr>
    <w:rPr>
      <w:rFonts w:ascii="Arial" w:hAnsi="Arial" w:eastAsia="Arial" w:cs="Arial"/>
      <w:b/>
      <w:bCs/>
      <w:sz w:val="26"/>
      <w:szCs w:val="26"/>
    </w:rPr>
  </w:style>
  <w:style w:type="paragraph" w:styleId="1105" w:customStyle="1">
    <w:name w:val="&quot;目录 11&quot;8"/>
    <w:basedOn w:val="699"/>
    <w:uiPriority w:val="0"/>
    <w:qFormat/>
    <w:pPr>
      <w:jc w:val="left"/>
    </w:pPr>
    <w:rPr>
      <w:rFonts w:ascii="Times New Roman" w:hAnsi="Times New Roman" w:eastAsia="楷体_GB2312"/>
      <w:sz w:val="24"/>
      <w:szCs w:val="20"/>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卞玥霏</cp:lastModifiedBy>
  <cp:revision>6</cp:revision>
  <dcterms:created xsi:type="dcterms:W3CDTF">2025-11-25T01:35:00Z</dcterms:created>
  <dcterms:modified xsi:type="dcterms:W3CDTF">2025-12-05T06:35:43Z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5c86da13ebbf40868d6004a2baf88e8a</vt:lpwstr>
  </property>
</Properties>
</file>